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8372" w:type="dxa"/>
        <w:tblLook w:val="0000" w:firstRow="0" w:lastRow="0" w:firstColumn="0" w:lastColumn="0" w:noHBand="0" w:noVBand="0"/>
      </w:tblPr>
      <w:tblGrid>
        <w:gridCol w:w="9"/>
        <w:gridCol w:w="8354"/>
        <w:gridCol w:w="9"/>
      </w:tblGrid>
      <w:tr w:rsidR="00036227" w14:paraId="59B5BE56" w14:textId="77777777" w:rsidTr="004649AB">
        <w:trPr>
          <w:gridBefore w:val="1"/>
          <w:wBefore w:w="9" w:type="dxa"/>
        </w:trPr>
        <w:tc>
          <w:tcPr>
            <w:tcW w:w="8363" w:type="dxa"/>
            <w:gridSpan w:val="2"/>
          </w:tcPr>
          <w:p w14:paraId="020D8D17" w14:textId="77777777" w:rsidR="00E257F1" w:rsidRDefault="006D65CD" w:rsidP="00E257F1">
            <w:pPr>
              <w:pStyle w:val="FileNumber0"/>
              <w:rPr>
                <w:sz w:val="28"/>
                <w:u w:val="single"/>
                <w:rtl/>
              </w:rPr>
            </w:pPr>
            <w:r>
              <w:rPr>
                <w:u w:val="single"/>
                <w:rtl/>
              </w:rPr>
              <w:t xml:space="preserve">בבית המשפט העליון </w:t>
            </w:r>
          </w:p>
          <w:p w14:paraId="5E5E10C2" w14:textId="55B0FE03" w:rsidR="00E257F1" w:rsidRPr="00624A42" w:rsidRDefault="00E257F1" w:rsidP="00E257F1">
            <w:pPr>
              <w:pStyle w:val="FileNumber0"/>
              <w:rPr>
                <w:sz w:val="28"/>
                <w:u w:val="single"/>
                <w:rtl/>
              </w:rPr>
            </w:pPr>
          </w:p>
        </w:tc>
      </w:tr>
      <w:tr w:rsidR="00036227" w14:paraId="6DA8A6A8" w14:textId="77777777" w:rsidTr="004649AB">
        <w:trPr>
          <w:gridAfter w:val="1"/>
          <w:wAfter w:w="9" w:type="dxa"/>
          <w:trHeight w:val="342"/>
        </w:trPr>
        <w:tc>
          <w:tcPr>
            <w:tcW w:w="8363" w:type="dxa"/>
            <w:gridSpan w:val="2"/>
          </w:tcPr>
          <w:p w14:paraId="28696085" w14:textId="7673268B" w:rsidR="00916FF8" w:rsidRPr="00810894" w:rsidRDefault="006D65CD" w:rsidP="00655963">
            <w:pPr>
              <w:pStyle w:val="FileNumber"/>
              <w:rPr>
                <w:sz w:val="28"/>
                <w:szCs w:val="28"/>
              </w:rPr>
            </w:pPr>
            <w:bookmarkStart w:id="0" w:name="casename_body"/>
            <w:proofErr w:type="spellStart"/>
            <w:r>
              <w:rPr>
                <w:sz w:val="28"/>
                <w:szCs w:val="28"/>
                <w:rtl/>
              </w:rPr>
              <w:t>בש"פ</w:t>
            </w:r>
            <w:proofErr w:type="spellEnd"/>
            <w:r>
              <w:rPr>
                <w:sz w:val="28"/>
                <w:szCs w:val="28"/>
                <w:rtl/>
              </w:rPr>
              <w:t xml:space="preserve"> 467/21</w:t>
            </w:r>
          </w:p>
        </w:tc>
      </w:tr>
      <w:bookmarkEnd w:id="0"/>
    </w:tbl>
    <w:p w14:paraId="09285AE8" w14:textId="464B3152" w:rsidR="00E257F1" w:rsidRDefault="00E257F1">
      <w:pPr>
        <w:jc w:val="right"/>
        <w:rPr>
          <w:rFonts w:cs="Miriam"/>
          <w:b/>
          <w:bCs/>
          <w:u w:val="single"/>
          <w:rtl/>
        </w:rPr>
      </w:pPr>
    </w:p>
    <w:p w14:paraId="4DAFE217" w14:textId="77777777" w:rsidR="00E257F1" w:rsidRDefault="00E257F1">
      <w:pPr>
        <w:jc w:val="right"/>
        <w:rPr>
          <w:rFonts w:cs="Miriam"/>
          <w:b/>
          <w:bCs/>
          <w:u w:val="single"/>
        </w:rPr>
      </w:pPr>
    </w:p>
    <w:tbl>
      <w:tblPr>
        <w:bidiVisual/>
        <w:tblW w:w="8364" w:type="dxa"/>
        <w:tblLayout w:type="fixed"/>
        <w:tblLook w:val="0000" w:firstRow="0" w:lastRow="0" w:firstColumn="0" w:lastColumn="0" w:noHBand="0" w:noVBand="0"/>
      </w:tblPr>
      <w:tblGrid>
        <w:gridCol w:w="3210"/>
        <w:gridCol w:w="5154"/>
      </w:tblGrid>
      <w:tr w:rsidR="00036227" w14:paraId="33AC8FA1" w14:textId="77777777" w:rsidTr="00EC23AC">
        <w:trPr>
          <w:trHeight w:val="287"/>
        </w:trPr>
        <w:tc>
          <w:tcPr>
            <w:tcW w:w="3261" w:type="dxa"/>
          </w:tcPr>
          <w:p w14:paraId="13BDD69F" w14:textId="77777777" w:rsidR="00036227" w:rsidRDefault="00CB7600">
            <w:pPr>
              <w:pStyle w:val="BodyRuller"/>
              <w:rPr>
                <w:rFonts w:cs="Miriam"/>
                <w:b/>
                <w:bCs/>
                <w:u w:val="single"/>
              </w:rPr>
            </w:pPr>
            <w:r>
              <w:rPr>
                <w:rFonts w:hint="cs"/>
                <w:rtl/>
              </w:rPr>
              <w:t>ל</w:t>
            </w:r>
            <w:r w:rsidR="00036227">
              <w:rPr>
                <w:rtl/>
              </w:rPr>
              <w:t>פני:</w:t>
            </w:r>
            <w:r w:rsidR="00036227">
              <w:rPr>
                <w:rtl/>
              </w:rPr>
              <w:tab/>
            </w:r>
          </w:p>
        </w:tc>
        <w:tc>
          <w:tcPr>
            <w:tcW w:w="5239" w:type="dxa"/>
          </w:tcPr>
          <w:p w14:paraId="74DF4024" w14:textId="77777777" w:rsidR="00036227" w:rsidRDefault="006D65CD">
            <w:pPr>
              <w:pStyle w:val="BodyRuller"/>
            </w:pPr>
            <w:r>
              <w:rPr>
                <w:rtl/>
              </w:rPr>
              <w:t>כבוד השופט י' עמית</w:t>
            </w:r>
          </w:p>
        </w:tc>
      </w:tr>
      <w:tr w:rsidR="006D65CD" w14:paraId="776AFF56" w14:textId="77777777" w:rsidTr="00EC23AC">
        <w:trPr>
          <w:trHeight w:val="287"/>
        </w:trPr>
        <w:tc>
          <w:tcPr>
            <w:tcW w:w="3261" w:type="dxa"/>
          </w:tcPr>
          <w:p w14:paraId="7E0ED25A" w14:textId="77777777" w:rsidR="006D65CD" w:rsidRDefault="006D65CD">
            <w:pPr>
              <w:pStyle w:val="BodyRuller"/>
              <w:rPr>
                <w:rtl/>
              </w:rPr>
            </w:pPr>
          </w:p>
        </w:tc>
        <w:tc>
          <w:tcPr>
            <w:tcW w:w="5239" w:type="dxa"/>
          </w:tcPr>
          <w:p w14:paraId="19A8AFBF" w14:textId="77777777" w:rsidR="006D65CD" w:rsidRDefault="006D65CD">
            <w:pPr>
              <w:pStyle w:val="BodyRuller"/>
              <w:rPr>
                <w:rtl/>
              </w:rPr>
            </w:pPr>
            <w:r>
              <w:rPr>
                <w:rtl/>
              </w:rPr>
              <w:t>כבוד השופטת ד' ברק-ארז</w:t>
            </w:r>
          </w:p>
        </w:tc>
      </w:tr>
      <w:tr w:rsidR="006D65CD" w14:paraId="615FA599" w14:textId="77777777" w:rsidTr="00EC23AC">
        <w:trPr>
          <w:trHeight w:val="287"/>
        </w:trPr>
        <w:tc>
          <w:tcPr>
            <w:tcW w:w="3261" w:type="dxa"/>
          </w:tcPr>
          <w:p w14:paraId="5ED274FC" w14:textId="77777777" w:rsidR="006D65CD" w:rsidRDefault="006D65CD">
            <w:pPr>
              <w:pStyle w:val="BodyRuller"/>
              <w:rPr>
                <w:rtl/>
              </w:rPr>
            </w:pPr>
          </w:p>
        </w:tc>
        <w:tc>
          <w:tcPr>
            <w:tcW w:w="5239" w:type="dxa"/>
          </w:tcPr>
          <w:p w14:paraId="4ADED35E" w14:textId="77777777" w:rsidR="006D65CD" w:rsidRDefault="006D65CD">
            <w:pPr>
              <w:pStyle w:val="BodyRuller"/>
              <w:rPr>
                <w:rtl/>
              </w:rPr>
            </w:pPr>
            <w:r>
              <w:rPr>
                <w:rtl/>
              </w:rPr>
              <w:t>כבוד השופטת ע' ברון</w:t>
            </w:r>
          </w:p>
        </w:tc>
      </w:tr>
    </w:tbl>
    <w:p w14:paraId="2D60C05D" w14:textId="77777777" w:rsidR="00916FF8" w:rsidRPr="00655963" w:rsidRDefault="00916FF8">
      <w:pPr>
        <w:pStyle w:val="Ruller3"/>
        <w:rPr>
          <w:rFonts w:cs="Miriam"/>
          <w:b/>
          <w:bCs/>
          <w:sz w:val="10"/>
          <w:szCs w:val="16"/>
          <w:u w:val="single"/>
          <w:rtl/>
        </w:rPr>
      </w:pPr>
    </w:p>
    <w:tbl>
      <w:tblPr>
        <w:bidiVisual/>
        <w:tblW w:w="8364" w:type="dxa"/>
        <w:tblLayout w:type="fixed"/>
        <w:tblLook w:val="0000" w:firstRow="0" w:lastRow="0" w:firstColumn="0" w:lastColumn="0" w:noHBand="0" w:noVBand="0"/>
      </w:tblPr>
      <w:tblGrid>
        <w:gridCol w:w="3210"/>
        <w:gridCol w:w="5154"/>
      </w:tblGrid>
      <w:tr w:rsidR="00523686" w14:paraId="37C26B47" w14:textId="77777777" w:rsidTr="00E2305E">
        <w:trPr>
          <w:trHeight w:val="287"/>
        </w:trPr>
        <w:tc>
          <w:tcPr>
            <w:tcW w:w="3261" w:type="dxa"/>
          </w:tcPr>
          <w:p w14:paraId="73C08B32" w14:textId="77777777" w:rsidR="00523686" w:rsidRPr="00523686" w:rsidRDefault="006D65CD" w:rsidP="00E2305E">
            <w:pPr>
              <w:pStyle w:val="BodyRuller"/>
              <w:rPr>
                <w:rFonts w:ascii="David" w:hAnsi="David"/>
              </w:rPr>
            </w:pPr>
            <w:r>
              <w:rPr>
                <w:rFonts w:ascii="David" w:hAnsi="David"/>
                <w:rtl/>
              </w:rPr>
              <w:t>המבקש</w:t>
            </w:r>
            <w:r w:rsidR="00CB5BE7">
              <w:rPr>
                <w:rFonts w:ascii="David" w:hAnsi="David" w:hint="cs"/>
                <w:rtl/>
              </w:rPr>
              <w:t>ת</w:t>
            </w:r>
            <w:r>
              <w:rPr>
                <w:rFonts w:ascii="David" w:hAnsi="David"/>
                <w:rtl/>
              </w:rPr>
              <w:t>:</w:t>
            </w:r>
          </w:p>
        </w:tc>
        <w:tc>
          <w:tcPr>
            <w:tcW w:w="5239" w:type="dxa"/>
          </w:tcPr>
          <w:p w14:paraId="3CA8EE15" w14:textId="77777777" w:rsidR="00523686" w:rsidRDefault="00A10C3C" w:rsidP="00E2305E">
            <w:pPr>
              <w:pStyle w:val="BodyRuller"/>
            </w:pPr>
            <w:r>
              <w:rPr>
                <w:rFonts w:hint="cs"/>
                <w:rtl/>
              </w:rPr>
              <w:t xml:space="preserve">עמותה </w:t>
            </w:r>
            <w:r w:rsidR="006D65CD">
              <w:rPr>
                <w:rtl/>
              </w:rPr>
              <w:t>פלוני</w:t>
            </w:r>
            <w:r w:rsidR="00CB5BE7">
              <w:rPr>
                <w:rFonts w:hint="cs"/>
                <w:rtl/>
              </w:rPr>
              <w:t>ת</w:t>
            </w:r>
          </w:p>
        </w:tc>
      </w:tr>
    </w:tbl>
    <w:p w14:paraId="389A5FDB" w14:textId="77777777" w:rsidR="00916FF8" w:rsidRPr="00655963" w:rsidRDefault="00916FF8">
      <w:pPr>
        <w:pStyle w:val="Ruller3"/>
        <w:rPr>
          <w:sz w:val="8"/>
          <w:szCs w:val="14"/>
        </w:rPr>
      </w:pPr>
      <w:r>
        <w:tab/>
      </w:r>
    </w:p>
    <w:tbl>
      <w:tblPr>
        <w:bidiVisual/>
        <w:tblW w:w="8363" w:type="dxa"/>
        <w:tblLook w:val="0000" w:firstRow="0" w:lastRow="0" w:firstColumn="0" w:lastColumn="0" w:noHBand="0" w:noVBand="0"/>
      </w:tblPr>
      <w:tblGrid>
        <w:gridCol w:w="3222"/>
        <w:gridCol w:w="5141"/>
      </w:tblGrid>
      <w:tr w:rsidR="00036227" w14:paraId="08E7137D" w14:textId="77777777" w:rsidTr="0039709B">
        <w:tc>
          <w:tcPr>
            <w:tcW w:w="3284" w:type="dxa"/>
          </w:tcPr>
          <w:p w14:paraId="155C1EF7" w14:textId="77777777" w:rsidR="00036227" w:rsidRDefault="00036227">
            <w:pPr>
              <w:pStyle w:val="BodyRuller"/>
            </w:pPr>
          </w:p>
        </w:tc>
        <w:tc>
          <w:tcPr>
            <w:tcW w:w="5238" w:type="dxa"/>
          </w:tcPr>
          <w:p w14:paraId="0A1CAB5F" w14:textId="77777777" w:rsidR="00036227" w:rsidRDefault="00036227">
            <w:pPr>
              <w:pStyle w:val="BodyRuller"/>
            </w:pPr>
            <w:r>
              <w:rPr>
                <w:rFonts w:hint="cs"/>
                <w:rtl/>
              </w:rPr>
              <w:t>נ</w:t>
            </w:r>
            <w:r>
              <w:t xml:space="preserve">  </w:t>
            </w:r>
            <w:r>
              <w:rPr>
                <w:rFonts w:hint="cs"/>
                <w:rtl/>
              </w:rPr>
              <w:t>ג</w:t>
            </w:r>
            <w:r>
              <w:t xml:space="preserve">  </w:t>
            </w:r>
            <w:r>
              <w:rPr>
                <w:rFonts w:hint="cs"/>
                <w:rtl/>
              </w:rPr>
              <w:t>ד</w:t>
            </w:r>
          </w:p>
        </w:tc>
      </w:tr>
    </w:tbl>
    <w:p w14:paraId="23E349D3" w14:textId="705ECC5A" w:rsidR="00916FF8" w:rsidRPr="00655963" w:rsidRDefault="00916FF8">
      <w:pPr>
        <w:pStyle w:val="Ruller3"/>
        <w:rPr>
          <w:sz w:val="10"/>
          <w:szCs w:val="16"/>
          <w:rtl/>
        </w:rPr>
      </w:pPr>
      <w:r w:rsidRPr="00655963">
        <w:rPr>
          <w:sz w:val="10"/>
          <w:szCs w:val="16"/>
        </w:rPr>
        <w:tab/>
      </w:r>
      <w:r w:rsidRPr="00655963">
        <w:rPr>
          <w:sz w:val="10"/>
          <w:szCs w:val="16"/>
        </w:rPr>
        <w:tab/>
      </w:r>
      <w:r w:rsidRPr="00655963">
        <w:rPr>
          <w:sz w:val="10"/>
          <w:szCs w:val="16"/>
        </w:rPr>
        <w:tab/>
        <w:t xml:space="preserve">     </w:t>
      </w:r>
    </w:p>
    <w:tbl>
      <w:tblPr>
        <w:bidiVisual/>
        <w:tblW w:w="8364" w:type="dxa"/>
        <w:tblLayout w:type="fixed"/>
        <w:tblLook w:val="0000" w:firstRow="0" w:lastRow="0" w:firstColumn="0" w:lastColumn="0" w:noHBand="0" w:noVBand="0"/>
      </w:tblPr>
      <w:tblGrid>
        <w:gridCol w:w="3210"/>
        <w:gridCol w:w="5154"/>
      </w:tblGrid>
      <w:tr w:rsidR="00523686" w14:paraId="7FD1D063" w14:textId="77777777" w:rsidTr="00CB5BE7">
        <w:trPr>
          <w:trHeight w:val="287"/>
        </w:trPr>
        <w:tc>
          <w:tcPr>
            <w:tcW w:w="3210" w:type="dxa"/>
          </w:tcPr>
          <w:p w14:paraId="6193EBF5" w14:textId="77777777" w:rsidR="00523686" w:rsidRPr="00523686" w:rsidRDefault="006D65CD" w:rsidP="00E2305E">
            <w:pPr>
              <w:pStyle w:val="BodyRuller"/>
              <w:rPr>
                <w:rFonts w:ascii="David" w:hAnsi="David"/>
              </w:rPr>
            </w:pPr>
            <w:r>
              <w:rPr>
                <w:rFonts w:ascii="David" w:hAnsi="David"/>
                <w:rtl/>
              </w:rPr>
              <w:t>המשיב</w:t>
            </w:r>
            <w:r w:rsidR="00CB5BE7">
              <w:rPr>
                <w:rFonts w:ascii="David" w:hAnsi="David" w:hint="cs"/>
                <w:rtl/>
              </w:rPr>
              <w:t>ה</w:t>
            </w:r>
            <w:r>
              <w:rPr>
                <w:rFonts w:ascii="David" w:hAnsi="David"/>
                <w:rtl/>
              </w:rPr>
              <w:t>:</w:t>
            </w:r>
          </w:p>
        </w:tc>
        <w:tc>
          <w:tcPr>
            <w:tcW w:w="5154" w:type="dxa"/>
          </w:tcPr>
          <w:p w14:paraId="02CFFAB6" w14:textId="77777777" w:rsidR="00523686" w:rsidRDefault="006D65CD" w:rsidP="00E2305E">
            <w:pPr>
              <w:pStyle w:val="BodyRuller"/>
            </w:pPr>
            <w:r>
              <w:rPr>
                <w:rtl/>
              </w:rPr>
              <w:t>מדינת ישראל</w:t>
            </w:r>
          </w:p>
        </w:tc>
      </w:tr>
      <w:tr w:rsidR="00CB5BE7" w14:paraId="18E1FAED" w14:textId="77777777" w:rsidTr="00CB5BE7">
        <w:trPr>
          <w:trHeight w:val="287"/>
        </w:trPr>
        <w:tc>
          <w:tcPr>
            <w:tcW w:w="3210" w:type="dxa"/>
          </w:tcPr>
          <w:p w14:paraId="04DF2F4D" w14:textId="77777777" w:rsidR="00CB5BE7" w:rsidRDefault="00CB5BE7" w:rsidP="00914E49">
            <w:pPr>
              <w:pStyle w:val="BodyRuller"/>
              <w:rPr>
                <w:rFonts w:ascii="David" w:hAnsi="David"/>
                <w:rtl/>
              </w:rPr>
            </w:pPr>
          </w:p>
          <w:p w14:paraId="01265AB8" w14:textId="77777777" w:rsidR="00CB5BE7" w:rsidRPr="00523686" w:rsidRDefault="00CB5BE7" w:rsidP="00FA0053">
            <w:pPr>
              <w:pStyle w:val="BodyRuller"/>
              <w:rPr>
                <w:rFonts w:ascii="David" w:hAnsi="David"/>
              </w:rPr>
            </w:pPr>
            <w:r>
              <w:rPr>
                <w:rFonts w:ascii="David" w:hAnsi="David" w:hint="cs"/>
                <w:rtl/>
              </w:rPr>
              <w:t>המבקש</w:t>
            </w:r>
            <w:r w:rsidR="00FA0053">
              <w:rPr>
                <w:rFonts w:ascii="David" w:hAnsi="David" w:hint="cs"/>
                <w:rtl/>
              </w:rPr>
              <w:t>ים</w:t>
            </w:r>
            <w:r>
              <w:rPr>
                <w:rFonts w:ascii="David" w:hAnsi="David" w:hint="cs"/>
                <w:rtl/>
              </w:rPr>
              <w:t xml:space="preserve"> להצטרף להליך</w:t>
            </w:r>
            <w:r>
              <w:rPr>
                <w:rFonts w:ascii="David" w:hAnsi="David"/>
                <w:rtl/>
              </w:rPr>
              <w:t>:</w:t>
            </w:r>
          </w:p>
        </w:tc>
        <w:tc>
          <w:tcPr>
            <w:tcW w:w="5154" w:type="dxa"/>
          </w:tcPr>
          <w:p w14:paraId="4ECA4930" w14:textId="77777777" w:rsidR="00CB5BE7" w:rsidRDefault="00CB5BE7" w:rsidP="00914E49">
            <w:pPr>
              <w:pStyle w:val="BodyRuller"/>
              <w:rPr>
                <w:rtl/>
              </w:rPr>
            </w:pPr>
          </w:p>
          <w:p w14:paraId="41669D17" w14:textId="77777777" w:rsidR="00CB5BE7" w:rsidRDefault="00CB5BE7" w:rsidP="00914E49">
            <w:pPr>
              <w:pStyle w:val="BodyRuller"/>
              <w:rPr>
                <w:rtl/>
              </w:rPr>
            </w:pPr>
            <w:r>
              <w:rPr>
                <w:rFonts w:hint="cs"/>
                <w:rtl/>
              </w:rPr>
              <w:t>1. איגוד הקרימינולוגים הקליניים</w:t>
            </w:r>
          </w:p>
          <w:p w14:paraId="18A54F5A" w14:textId="77777777" w:rsidR="00CB5BE7" w:rsidRDefault="00CB5BE7" w:rsidP="00914E49">
            <w:pPr>
              <w:pStyle w:val="BodyRuller"/>
            </w:pPr>
            <w:r>
              <w:rPr>
                <w:rFonts w:hint="cs"/>
                <w:rtl/>
              </w:rPr>
              <w:t>2. הסניגוריה הציבורית</w:t>
            </w:r>
          </w:p>
        </w:tc>
      </w:tr>
    </w:tbl>
    <w:p w14:paraId="306417A9" w14:textId="77777777" w:rsidR="00916FF8" w:rsidRPr="00E257F1" w:rsidRDefault="00E36FE9">
      <w:pPr>
        <w:pStyle w:val="Ruller3"/>
        <w:rPr>
          <w:sz w:val="18"/>
          <w:szCs w:val="22"/>
        </w:rPr>
      </w:pPr>
      <w:r>
        <w:rPr>
          <w:rFonts w:hint="cs"/>
          <w:rtl/>
        </w:rPr>
        <w:tab/>
      </w:r>
    </w:p>
    <w:tbl>
      <w:tblPr>
        <w:bidiVisual/>
        <w:tblW w:w="0" w:type="auto"/>
        <w:tblInd w:w="3209" w:type="dxa"/>
        <w:tblLook w:val="0000" w:firstRow="0" w:lastRow="0" w:firstColumn="0" w:lastColumn="0" w:noHBand="0" w:noVBand="0"/>
      </w:tblPr>
      <w:tblGrid>
        <w:gridCol w:w="5103"/>
      </w:tblGrid>
      <w:tr w:rsidR="00036227" w14:paraId="2ED45BBD" w14:textId="77777777" w:rsidTr="00CA1444">
        <w:tc>
          <w:tcPr>
            <w:tcW w:w="5103" w:type="dxa"/>
          </w:tcPr>
          <w:p w14:paraId="0AEC85C4" w14:textId="77777777" w:rsidR="00916FF8" w:rsidRPr="00265F6E" w:rsidRDefault="00CB5BE7" w:rsidP="00CB5BE7">
            <w:pPr>
              <w:pStyle w:val="BodyRuller"/>
              <w:jc w:val="both"/>
              <w:rPr>
                <w:sz w:val="24"/>
                <w:szCs w:val="24"/>
              </w:rPr>
            </w:pPr>
            <w:r>
              <w:rPr>
                <w:rFonts w:hint="cs"/>
                <w:sz w:val="24"/>
                <w:szCs w:val="24"/>
                <w:rtl/>
              </w:rPr>
              <w:t>בקשת רשות ערר על החלטתו של בית המשפט המחוזי בתל אביב-יפו מיום 18.1.2021 בע"ח 9502-01-21 שניתנה על-ידי כבוד סגן הנשיא ב' שגיא</w:t>
            </w:r>
          </w:p>
        </w:tc>
      </w:tr>
    </w:tbl>
    <w:p w14:paraId="23D02998" w14:textId="77777777" w:rsidR="00916FF8" w:rsidRDefault="00E36FE9">
      <w:pPr>
        <w:pStyle w:val="Ruller3"/>
        <w:rPr>
          <w:rtl/>
        </w:rPr>
      </w:pPr>
      <w:r>
        <w:rPr>
          <w:rFonts w:hint="cs"/>
          <w:rtl/>
        </w:rPr>
        <w:tab/>
      </w: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2423"/>
        <w:gridCol w:w="2710"/>
      </w:tblGrid>
      <w:tr w:rsidR="008C2F11" w14:paraId="251C5103" w14:textId="77777777" w:rsidTr="00D00B1D">
        <w:tc>
          <w:tcPr>
            <w:tcW w:w="3212" w:type="dxa"/>
            <w:tcBorders>
              <w:top w:val="nil"/>
              <w:left w:val="nil"/>
              <w:bottom w:val="nil"/>
              <w:right w:val="nil"/>
            </w:tcBorders>
          </w:tcPr>
          <w:p w14:paraId="03D86E16" w14:textId="77777777" w:rsidR="008C2F11" w:rsidRPr="00265F6E" w:rsidRDefault="008C2F11">
            <w:pPr>
              <w:pStyle w:val="BodyRuller"/>
              <w:rPr>
                <w:sz w:val="24"/>
                <w:szCs w:val="24"/>
              </w:rPr>
            </w:pPr>
            <w:r w:rsidRPr="00265F6E">
              <w:rPr>
                <w:sz w:val="24"/>
                <w:szCs w:val="24"/>
                <w:rtl/>
              </w:rPr>
              <w:t>תאריך הישיבה:</w:t>
            </w:r>
          </w:p>
        </w:tc>
        <w:tc>
          <w:tcPr>
            <w:tcW w:w="2409" w:type="dxa"/>
            <w:tcBorders>
              <w:top w:val="nil"/>
              <w:left w:val="nil"/>
              <w:bottom w:val="nil"/>
              <w:right w:val="nil"/>
            </w:tcBorders>
          </w:tcPr>
          <w:p w14:paraId="2103E882" w14:textId="77777777" w:rsidR="008C2F11" w:rsidRDefault="00CB5BE7">
            <w:pPr>
              <w:pStyle w:val="BodyRuller"/>
              <w:rPr>
                <w:rtl/>
              </w:rPr>
            </w:pPr>
            <w:r>
              <w:rPr>
                <w:rFonts w:hint="cs"/>
                <w:sz w:val="24"/>
                <w:szCs w:val="24"/>
                <w:rtl/>
              </w:rPr>
              <w:t xml:space="preserve">י"א באדר </w:t>
            </w:r>
            <w:proofErr w:type="spellStart"/>
            <w:r>
              <w:rPr>
                <w:rFonts w:hint="cs"/>
                <w:sz w:val="24"/>
                <w:szCs w:val="24"/>
                <w:rtl/>
              </w:rPr>
              <w:t>התשפ"א</w:t>
            </w:r>
            <w:proofErr w:type="spellEnd"/>
            <w:r w:rsidR="008C2F11">
              <w:t xml:space="preserve">       </w:t>
            </w:r>
          </w:p>
        </w:tc>
        <w:tc>
          <w:tcPr>
            <w:tcW w:w="2694" w:type="dxa"/>
            <w:tcBorders>
              <w:top w:val="nil"/>
              <w:left w:val="nil"/>
              <w:bottom w:val="nil"/>
              <w:right w:val="nil"/>
            </w:tcBorders>
          </w:tcPr>
          <w:p w14:paraId="2DFB84A4" w14:textId="77777777" w:rsidR="008C2F11" w:rsidRDefault="006D65CD" w:rsidP="00CB5BE7">
            <w:pPr>
              <w:pStyle w:val="BodyRuller"/>
              <w:rPr>
                <w:sz w:val="24"/>
                <w:szCs w:val="24"/>
                <w:rtl/>
              </w:rPr>
            </w:pPr>
            <w:r>
              <w:t>(</w:t>
            </w:r>
            <w:r w:rsidR="00CB5BE7">
              <w:t>23</w:t>
            </w:r>
            <w:r>
              <w:t>.</w:t>
            </w:r>
            <w:r w:rsidR="00CB5BE7">
              <w:t>02</w:t>
            </w:r>
            <w:r>
              <w:t>.</w:t>
            </w:r>
            <w:r w:rsidR="00CB5BE7">
              <w:t>2021</w:t>
            </w:r>
            <w:r>
              <w:t>)</w:t>
            </w:r>
            <w:r w:rsidR="00200D6B">
              <w:t xml:space="preserve"> </w:t>
            </w:r>
          </w:p>
        </w:tc>
      </w:tr>
    </w:tbl>
    <w:p w14:paraId="4A5C93DD" w14:textId="77777777" w:rsidR="00916FF8" w:rsidRDefault="00916FF8">
      <w:pPr>
        <w:pStyle w:val="Ruller3"/>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2"/>
        <w:gridCol w:w="5151"/>
      </w:tblGrid>
      <w:tr w:rsidR="00036227" w14:paraId="16F9A63F" w14:textId="77777777" w:rsidTr="00D00B1D">
        <w:tc>
          <w:tcPr>
            <w:tcW w:w="3257" w:type="dxa"/>
            <w:tcBorders>
              <w:top w:val="nil"/>
              <w:left w:val="nil"/>
              <w:bottom w:val="nil"/>
              <w:right w:val="nil"/>
            </w:tcBorders>
          </w:tcPr>
          <w:p w14:paraId="5CA172D4" w14:textId="77777777" w:rsidR="00036227" w:rsidRDefault="006D65CD">
            <w:pPr>
              <w:pStyle w:val="BodyRuller"/>
            </w:pPr>
            <w:r>
              <w:rPr>
                <w:rtl/>
              </w:rPr>
              <w:t>בשם המבקש</w:t>
            </w:r>
            <w:r w:rsidR="00CB5BE7">
              <w:rPr>
                <w:rFonts w:hint="cs"/>
                <w:rtl/>
              </w:rPr>
              <w:t>ת</w:t>
            </w:r>
            <w:r>
              <w:rPr>
                <w:rtl/>
              </w:rPr>
              <w:t>:</w:t>
            </w:r>
          </w:p>
        </w:tc>
        <w:tc>
          <w:tcPr>
            <w:tcW w:w="5238" w:type="dxa"/>
            <w:tcBorders>
              <w:top w:val="nil"/>
              <w:left w:val="nil"/>
              <w:bottom w:val="nil"/>
              <w:right w:val="nil"/>
            </w:tcBorders>
          </w:tcPr>
          <w:p w14:paraId="38BF1E49" w14:textId="77777777" w:rsidR="00036227" w:rsidRDefault="006D65CD" w:rsidP="00CB5BE7">
            <w:pPr>
              <w:pStyle w:val="BodyRuller"/>
            </w:pPr>
            <w:r>
              <w:rPr>
                <w:rtl/>
              </w:rPr>
              <w:t xml:space="preserve">עו"ד </w:t>
            </w:r>
            <w:r w:rsidR="00CB5BE7">
              <w:rPr>
                <w:rFonts w:hint="cs"/>
                <w:rtl/>
              </w:rPr>
              <w:t xml:space="preserve">איתן </w:t>
            </w:r>
            <w:r>
              <w:rPr>
                <w:rtl/>
              </w:rPr>
              <w:t>פינקלשטיין</w:t>
            </w:r>
          </w:p>
        </w:tc>
      </w:tr>
    </w:tbl>
    <w:p w14:paraId="026B7C8F" w14:textId="77777777" w:rsidR="00916FF8" w:rsidRDefault="00916FF8">
      <w:pPr>
        <w:pStyle w:val="Ruller3"/>
      </w:pPr>
    </w:p>
    <w:tbl>
      <w:tblPr>
        <w:bidiVisual/>
        <w:tblW w:w="836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4"/>
        <w:gridCol w:w="5149"/>
      </w:tblGrid>
      <w:tr w:rsidR="00036227" w14:paraId="32D0D1FF" w14:textId="77777777" w:rsidTr="00D00B1D">
        <w:tc>
          <w:tcPr>
            <w:tcW w:w="3257" w:type="dxa"/>
            <w:tcBorders>
              <w:top w:val="nil"/>
              <w:left w:val="nil"/>
              <w:bottom w:val="nil"/>
              <w:right w:val="nil"/>
            </w:tcBorders>
          </w:tcPr>
          <w:p w14:paraId="709619DE" w14:textId="77777777" w:rsidR="00036227" w:rsidRDefault="006D65CD">
            <w:pPr>
              <w:pStyle w:val="BodyRuller"/>
            </w:pPr>
            <w:r>
              <w:rPr>
                <w:rtl/>
              </w:rPr>
              <w:t>בשם המשיב</w:t>
            </w:r>
            <w:r w:rsidR="00CB5BE7">
              <w:rPr>
                <w:rFonts w:hint="cs"/>
                <w:rtl/>
              </w:rPr>
              <w:t>ה</w:t>
            </w:r>
            <w:r>
              <w:rPr>
                <w:rtl/>
              </w:rPr>
              <w:t>:</w:t>
            </w:r>
          </w:p>
        </w:tc>
        <w:tc>
          <w:tcPr>
            <w:tcW w:w="5238" w:type="dxa"/>
            <w:tcBorders>
              <w:top w:val="nil"/>
              <w:left w:val="nil"/>
              <w:bottom w:val="nil"/>
              <w:right w:val="nil"/>
            </w:tcBorders>
          </w:tcPr>
          <w:p w14:paraId="496B4207" w14:textId="77777777" w:rsidR="00036227" w:rsidRDefault="006D65CD" w:rsidP="00CB5BE7">
            <w:pPr>
              <w:pStyle w:val="BodyRuller"/>
            </w:pPr>
            <w:r>
              <w:rPr>
                <w:rtl/>
              </w:rPr>
              <w:t xml:space="preserve">עו"ד </w:t>
            </w:r>
            <w:r w:rsidR="00CB5BE7">
              <w:rPr>
                <w:rFonts w:hint="cs"/>
                <w:rtl/>
              </w:rPr>
              <w:t>יאיר חמודות</w:t>
            </w:r>
          </w:p>
        </w:tc>
      </w:tr>
    </w:tbl>
    <w:p w14:paraId="1014FA1B" w14:textId="77777777" w:rsidR="00916FF8" w:rsidRDefault="00916FF8" w:rsidP="00FA0053">
      <w:pPr>
        <w:pStyle w:val="Ruller3"/>
        <w:rPr>
          <w:rtl/>
        </w:rPr>
      </w:pPr>
    </w:p>
    <w:tbl>
      <w:tblPr>
        <w:bidiVisual/>
        <w:tblW w:w="836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4"/>
        <w:gridCol w:w="5149"/>
      </w:tblGrid>
      <w:tr w:rsidR="00CB5BE7" w14:paraId="656D79B1" w14:textId="77777777" w:rsidTr="00CB5BE7">
        <w:tc>
          <w:tcPr>
            <w:tcW w:w="3214" w:type="dxa"/>
            <w:tcBorders>
              <w:top w:val="nil"/>
              <w:left w:val="nil"/>
              <w:bottom w:val="nil"/>
              <w:right w:val="nil"/>
            </w:tcBorders>
          </w:tcPr>
          <w:p w14:paraId="0FCBA8D1" w14:textId="77777777" w:rsidR="00CB5BE7" w:rsidRDefault="00CB5BE7" w:rsidP="00CB5BE7">
            <w:pPr>
              <w:pStyle w:val="BodyRuller"/>
            </w:pPr>
            <w:r>
              <w:rPr>
                <w:rtl/>
              </w:rPr>
              <w:t xml:space="preserve">בשם </w:t>
            </w:r>
            <w:r>
              <w:rPr>
                <w:rFonts w:hint="cs"/>
                <w:rtl/>
              </w:rPr>
              <w:t>איגוד הקרימינולוגים הקליניים</w:t>
            </w:r>
            <w:r>
              <w:rPr>
                <w:rtl/>
              </w:rPr>
              <w:t>:</w:t>
            </w:r>
          </w:p>
        </w:tc>
        <w:tc>
          <w:tcPr>
            <w:tcW w:w="5149" w:type="dxa"/>
            <w:tcBorders>
              <w:top w:val="nil"/>
              <w:left w:val="nil"/>
              <w:bottom w:val="nil"/>
              <w:right w:val="nil"/>
            </w:tcBorders>
          </w:tcPr>
          <w:p w14:paraId="13180696" w14:textId="77777777" w:rsidR="00FA0053" w:rsidRDefault="00FA0053" w:rsidP="00CB5BE7">
            <w:pPr>
              <w:pStyle w:val="BodyRuller"/>
              <w:rPr>
                <w:rtl/>
              </w:rPr>
            </w:pPr>
          </w:p>
          <w:p w14:paraId="1BC165DC" w14:textId="77777777" w:rsidR="00CB5BE7" w:rsidRDefault="00CB5BE7" w:rsidP="00CB5BE7">
            <w:pPr>
              <w:pStyle w:val="BodyRuller"/>
            </w:pPr>
            <w:r>
              <w:rPr>
                <w:rtl/>
              </w:rPr>
              <w:t xml:space="preserve">עו"ד </w:t>
            </w:r>
            <w:r>
              <w:rPr>
                <w:rFonts w:hint="cs"/>
                <w:rtl/>
              </w:rPr>
              <w:t>ליה פלוס, עו"ד ליאת בכור</w:t>
            </w:r>
          </w:p>
        </w:tc>
      </w:tr>
      <w:tr w:rsidR="00CB5BE7" w14:paraId="5AF997DA" w14:textId="77777777" w:rsidTr="00CB5BE7">
        <w:tc>
          <w:tcPr>
            <w:tcW w:w="3214" w:type="dxa"/>
            <w:tcBorders>
              <w:top w:val="nil"/>
              <w:left w:val="nil"/>
              <w:bottom w:val="nil"/>
              <w:right w:val="nil"/>
            </w:tcBorders>
          </w:tcPr>
          <w:p w14:paraId="33E27429" w14:textId="77777777" w:rsidR="00CB5BE7" w:rsidRDefault="00CB5BE7" w:rsidP="00FA0053">
            <w:pPr>
              <w:pStyle w:val="Ruller3"/>
              <w:rPr>
                <w:rtl/>
              </w:rPr>
            </w:pPr>
          </w:p>
          <w:p w14:paraId="118F2236" w14:textId="77777777" w:rsidR="00CB5BE7" w:rsidRDefault="00CB5BE7" w:rsidP="00CB5BE7">
            <w:pPr>
              <w:pStyle w:val="BodyRuller"/>
            </w:pPr>
            <w:r>
              <w:rPr>
                <w:rtl/>
              </w:rPr>
              <w:t xml:space="preserve">בשם </w:t>
            </w:r>
            <w:r>
              <w:rPr>
                <w:rFonts w:hint="cs"/>
                <w:rtl/>
              </w:rPr>
              <w:t>הסניגוריה הציבורית</w:t>
            </w:r>
            <w:r>
              <w:rPr>
                <w:rtl/>
              </w:rPr>
              <w:t>:</w:t>
            </w:r>
          </w:p>
        </w:tc>
        <w:tc>
          <w:tcPr>
            <w:tcW w:w="5149" w:type="dxa"/>
            <w:tcBorders>
              <w:top w:val="nil"/>
              <w:left w:val="nil"/>
              <w:bottom w:val="nil"/>
              <w:right w:val="nil"/>
            </w:tcBorders>
          </w:tcPr>
          <w:p w14:paraId="3B2038E0" w14:textId="77777777" w:rsidR="00CB5BE7" w:rsidRPr="00FA0053" w:rsidRDefault="00CB5BE7" w:rsidP="00FA0053">
            <w:pPr>
              <w:pStyle w:val="Ruller3"/>
              <w:rPr>
                <w:rFonts w:cs="David"/>
                <w:spacing w:val="0"/>
                <w:rtl/>
              </w:rPr>
            </w:pPr>
          </w:p>
          <w:p w14:paraId="5E32B93F" w14:textId="77777777" w:rsidR="00CB5BE7" w:rsidRPr="00FA0053" w:rsidRDefault="00CB5BE7" w:rsidP="00FA0053">
            <w:pPr>
              <w:pStyle w:val="Ruller3"/>
              <w:rPr>
                <w:rFonts w:cs="David"/>
                <w:spacing w:val="0"/>
              </w:rPr>
            </w:pPr>
            <w:r w:rsidRPr="00FA0053">
              <w:rPr>
                <w:rFonts w:cs="David"/>
                <w:spacing w:val="0"/>
                <w:rtl/>
              </w:rPr>
              <w:t xml:space="preserve">עו"ד </w:t>
            </w:r>
            <w:r w:rsidRPr="00FA0053">
              <w:rPr>
                <w:rFonts w:cs="David" w:hint="cs"/>
                <w:spacing w:val="0"/>
                <w:rtl/>
              </w:rPr>
              <w:t>דורית נחמני-</w:t>
            </w:r>
            <w:proofErr w:type="spellStart"/>
            <w:r w:rsidRPr="00FA0053">
              <w:rPr>
                <w:rFonts w:cs="David" w:hint="cs"/>
                <w:spacing w:val="0"/>
                <w:rtl/>
              </w:rPr>
              <w:t>אלבק</w:t>
            </w:r>
            <w:proofErr w:type="spellEnd"/>
            <w:r w:rsidRPr="00FA0053">
              <w:rPr>
                <w:rFonts w:cs="David" w:hint="cs"/>
                <w:spacing w:val="0"/>
                <w:rtl/>
              </w:rPr>
              <w:t>, עו"ד נועם גוטמן</w:t>
            </w:r>
          </w:p>
        </w:tc>
      </w:tr>
    </w:tbl>
    <w:p w14:paraId="34436A9A" w14:textId="3921464A" w:rsidR="00CB5BE7" w:rsidRDefault="00CB5BE7">
      <w:pPr>
        <w:tabs>
          <w:tab w:val="left" w:pos="2552"/>
        </w:tabs>
        <w:rPr>
          <w:rtl/>
        </w:rPr>
      </w:pPr>
    </w:p>
    <w:p w14:paraId="4C926790" w14:textId="77777777" w:rsidR="00E257F1" w:rsidRDefault="00E257F1">
      <w:pPr>
        <w:tabs>
          <w:tab w:val="left" w:pos="2552"/>
        </w:tabs>
        <w:rPr>
          <w:rtl/>
        </w:rPr>
      </w:pPr>
    </w:p>
    <w:tbl>
      <w:tblPr>
        <w:bidiVisual/>
        <w:tblW w:w="8363" w:type="dxa"/>
        <w:tblLook w:val="0000" w:firstRow="0" w:lastRow="0" w:firstColumn="0" w:lastColumn="0" w:noHBand="0" w:noVBand="0"/>
      </w:tblPr>
      <w:tblGrid>
        <w:gridCol w:w="8363"/>
      </w:tblGrid>
      <w:tr w:rsidR="00036227" w14:paraId="2D20EB86" w14:textId="77777777" w:rsidTr="00E257F1">
        <w:tc>
          <w:tcPr>
            <w:tcW w:w="8363" w:type="dxa"/>
          </w:tcPr>
          <w:p w14:paraId="195D58B6" w14:textId="77777777" w:rsidR="00916FF8" w:rsidRDefault="00CB5BE7">
            <w:pPr>
              <w:pStyle w:val="DocumentHead"/>
            </w:pPr>
            <w:bookmarkStart w:id="1" w:name="secretary"/>
            <w:bookmarkStart w:id="2" w:name="BeginProtocol"/>
            <w:bookmarkEnd w:id="1"/>
            <w:bookmarkEnd w:id="2"/>
            <w:r>
              <w:rPr>
                <w:rFonts w:hint="cs"/>
                <w:rtl/>
              </w:rPr>
              <w:t>פסק-דין</w:t>
            </w:r>
          </w:p>
        </w:tc>
      </w:tr>
    </w:tbl>
    <w:p w14:paraId="200F0353" w14:textId="77777777" w:rsidR="00A54073" w:rsidRDefault="00A54073">
      <w:pPr>
        <w:pStyle w:val="BODYVERDICT"/>
        <w:rPr>
          <w:rtl/>
        </w:rPr>
      </w:pPr>
    </w:p>
    <w:p w14:paraId="6B2FF412" w14:textId="77777777" w:rsidR="00916FF8" w:rsidRPr="00503A3E" w:rsidRDefault="006D65CD">
      <w:pPr>
        <w:pStyle w:val="BODYVERDICT"/>
        <w:rPr>
          <w:rFonts w:cs="Miriam"/>
          <w:sz w:val="24"/>
          <w:szCs w:val="24"/>
          <w:u w:val="single"/>
          <w:rtl/>
        </w:rPr>
      </w:pPr>
      <w:bookmarkStart w:id="3" w:name="Writer_Name"/>
      <w:bookmarkEnd w:id="3"/>
      <w:r>
        <w:rPr>
          <w:rFonts w:cs="Miriam"/>
          <w:sz w:val="24"/>
          <w:szCs w:val="24"/>
          <w:u w:val="single"/>
          <w:rtl/>
        </w:rPr>
        <w:t>השופטת ד' ברק-ארז</w:t>
      </w:r>
      <w:r w:rsidRPr="00C1792E">
        <w:rPr>
          <w:rFonts w:cs="Miriam"/>
          <w:sz w:val="24"/>
          <w:szCs w:val="24"/>
          <w:rtl/>
        </w:rPr>
        <w:t>:</w:t>
      </w:r>
    </w:p>
    <w:p w14:paraId="29B35326" w14:textId="77777777" w:rsidR="000B1478" w:rsidRDefault="000B1478" w:rsidP="00A51FAE">
      <w:pPr>
        <w:pStyle w:val="Ruller41"/>
        <w:rPr>
          <w:rtl/>
        </w:rPr>
      </w:pPr>
      <w:bookmarkStart w:id="4" w:name="Start_Write"/>
      <w:bookmarkEnd w:id="4"/>
    </w:p>
    <w:p w14:paraId="5F898EFA" w14:textId="77777777" w:rsidR="006A687A" w:rsidRDefault="006A687A" w:rsidP="006A687A">
      <w:pPr>
        <w:pStyle w:val="Ruller41"/>
        <w:rPr>
          <w:rtl/>
        </w:rPr>
      </w:pPr>
      <w:r w:rsidRPr="00C22695">
        <w:rPr>
          <w:rFonts w:hint="cs"/>
          <w:rtl/>
        </w:rPr>
        <w:t>1.</w:t>
      </w:r>
      <w:r>
        <w:rPr>
          <w:rtl/>
        </w:rPr>
        <w:tab/>
      </w:r>
      <w:r>
        <w:rPr>
          <w:rFonts w:hint="cs"/>
          <w:rtl/>
        </w:rPr>
        <w:t xml:space="preserve">מהו היחס בין חובת הדיווח שחלה על עובד סוציאלי שהתעורר אצלו חשד כי נעברה עבירה בקטין או בחסר ישע בידי האחראי עליו, לבין החיסיון הנוגע למידע המוחלף בין העובד הסוציאלי למטופל? במילים אחרות, האם בנסיבות שבהן חלה חובת </w:t>
      </w:r>
      <w:r>
        <w:rPr>
          <w:rFonts w:hint="cs"/>
          <w:rtl/>
        </w:rPr>
        <w:lastRenderedPageBreak/>
        <w:t>הדיווח הסטטוטורי</w:t>
      </w:r>
      <w:r>
        <w:rPr>
          <w:rFonts w:hint="eastAsia"/>
          <w:rtl/>
        </w:rPr>
        <w:t>ת</w:t>
      </w:r>
      <w:r>
        <w:rPr>
          <w:rFonts w:hint="cs"/>
          <w:rtl/>
        </w:rPr>
        <w:t xml:space="preserve"> החיסיון נסוג ועל העובד הסוציאלי למסור לידי רשויות החקירה מידע ומסמכים בנוסף לדיווח עצמו? כמו כן, מהו ההליך שבו ייבחנו הדברים </w:t>
      </w:r>
      <w:r>
        <w:rPr>
          <w:rtl/>
        </w:rPr>
        <w:t>–</w:t>
      </w:r>
      <w:r>
        <w:rPr>
          <w:rFonts w:hint="cs"/>
          <w:rtl/>
        </w:rPr>
        <w:t xml:space="preserve"> האם מסירתם של חומרים נוספים נלווית לחובת הדיווח או שמא עליה להיבחן במסגרת הליך נפרד של בקשה להסרת החיסיון? שאלות עקרוניות אלה, ואחרות הקשורות בהן, הונחו בפנינו במקרה דנן. </w:t>
      </w:r>
    </w:p>
    <w:p w14:paraId="3B3EF32C" w14:textId="77777777" w:rsidR="006A687A" w:rsidRDefault="006A687A" w:rsidP="006A687A">
      <w:pPr>
        <w:pStyle w:val="Ruller41"/>
        <w:rPr>
          <w:rtl/>
        </w:rPr>
      </w:pPr>
    </w:p>
    <w:p w14:paraId="7903BD77" w14:textId="77777777" w:rsidR="006A687A" w:rsidRPr="006832DF" w:rsidRDefault="006A687A" w:rsidP="006A687A">
      <w:pPr>
        <w:pStyle w:val="Ruller41"/>
        <w:rPr>
          <w:rFonts w:ascii="Century" w:hAnsi="Century" w:cs="Miriam"/>
          <w:b/>
          <w:spacing w:val="0"/>
          <w:szCs w:val="24"/>
          <w:rtl/>
        </w:rPr>
      </w:pPr>
      <w:r w:rsidRPr="006832DF">
        <w:rPr>
          <w:rFonts w:ascii="Century" w:hAnsi="Century" w:cs="Miriam" w:hint="eastAsia"/>
          <w:b/>
          <w:spacing w:val="0"/>
          <w:szCs w:val="24"/>
          <w:rtl/>
        </w:rPr>
        <w:t>המסגרת</w:t>
      </w:r>
      <w:r w:rsidRPr="006832DF">
        <w:rPr>
          <w:rFonts w:ascii="Century" w:hAnsi="Century" w:cs="Miriam"/>
          <w:b/>
          <w:spacing w:val="0"/>
          <w:szCs w:val="24"/>
          <w:rtl/>
        </w:rPr>
        <w:t xml:space="preserve"> </w:t>
      </w:r>
      <w:r w:rsidRPr="006832DF">
        <w:rPr>
          <w:rFonts w:ascii="Century" w:hAnsi="Century" w:cs="Miriam" w:hint="eastAsia"/>
          <w:b/>
          <w:spacing w:val="0"/>
          <w:szCs w:val="24"/>
          <w:rtl/>
        </w:rPr>
        <w:t>הנורמטיבית</w:t>
      </w:r>
      <w:r>
        <w:rPr>
          <w:rFonts w:ascii="Century" w:hAnsi="Century" w:cs="Miriam" w:hint="cs"/>
          <w:b/>
          <w:spacing w:val="0"/>
          <w:szCs w:val="24"/>
          <w:rtl/>
        </w:rPr>
        <w:t xml:space="preserve">: בין החיסיון הטיפולי לחובת הדיווח </w:t>
      </w:r>
    </w:p>
    <w:p w14:paraId="1F88804F" w14:textId="77777777" w:rsidR="006A687A" w:rsidRDefault="006A687A" w:rsidP="006A687A">
      <w:pPr>
        <w:pStyle w:val="Ruller41"/>
        <w:rPr>
          <w:rtl/>
        </w:rPr>
      </w:pPr>
    </w:p>
    <w:p w14:paraId="52AF16C3" w14:textId="77777777" w:rsidR="006A687A" w:rsidRDefault="006A687A" w:rsidP="006A687A">
      <w:pPr>
        <w:pStyle w:val="Ruller41"/>
        <w:rPr>
          <w:rtl/>
        </w:rPr>
      </w:pPr>
      <w:r>
        <w:rPr>
          <w:rFonts w:hint="cs"/>
          <w:rtl/>
        </w:rPr>
        <w:t>2.</w:t>
      </w:r>
      <w:r>
        <w:rPr>
          <w:rFonts w:hint="cs"/>
          <w:rtl/>
        </w:rPr>
        <w:tab/>
        <w:t>בפתח הדברים ראוי להקדים ולהציג את הוראות הדין הנוגעות לחיסיון החל על עבודתו של העובד הסוציאלי, כמו גם לחובות הדיווח המוטלות עליו.</w:t>
      </w:r>
    </w:p>
    <w:p w14:paraId="22091C4B" w14:textId="77777777" w:rsidR="006A687A" w:rsidRDefault="006A687A" w:rsidP="006A687A">
      <w:pPr>
        <w:pStyle w:val="Ruller41"/>
        <w:rPr>
          <w:rFonts w:ascii="Century" w:hAnsi="Century"/>
          <w:rtl/>
        </w:rPr>
      </w:pPr>
    </w:p>
    <w:p w14:paraId="528F40D6" w14:textId="77777777" w:rsidR="006A687A" w:rsidRDefault="006A687A" w:rsidP="006A687A">
      <w:pPr>
        <w:pStyle w:val="Ruller41"/>
        <w:rPr>
          <w:rtl/>
        </w:rPr>
      </w:pPr>
      <w:r>
        <w:rPr>
          <w:rFonts w:hint="cs"/>
          <w:rtl/>
        </w:rPr>
        <w:t>3.</w:t>
      </w:r>
      <w:r>
        <w:rPr>
          <w:rtl/>
        </w:rPr>
        <w:tab/>
      </w:r>
      <w:r>
        <w:rPr>
          <w:rFonts w:hint="cs"/>
          <w:rtl/>
        </w:rPr>
        <w:t xml:space="preserve">סעיף 50א לפקודת הראיות [נוסח חדש], התשל"א-1971 (להלן: </w:t>
      </w:r>
      <w:r w:rsidRPr="0093178D">
        <w:rPr>
          <w:rFonts w:ascii="Century" w:hAnsi="Century" w:cs="Miriam" w:hint="eastAsia"/>
          <w:b/>
          <w:spacing w:val="0"/>
          <w:szCs w:val="24"/>
          <w:rtl/>
        </w:rPr>
        <w:t>הפקודה</w:t>
      </w:r>
      <w:r>
        <w:rPr>
          <w:rFonts w:hint="cs"/>
          <w:rtl/>
        </w:rPr>
        <w:t xml:space="preserve">), שהוסף בה בשנת 1996 כתיקון עקיף במסגרת חקיקת חוק העובדים הסוציאליים, התשנ"ו-1996 (להלן: </w:t>
      </w:r>
      <w:r w:rsidRPr="005E19EF">
        <w:rPr>
          <w:rFonts w:ascii="Century" w:hAnsi="Century" w:cs="Miriam" w:hint="eastAsia"/>
          <w:b/>
          <w:spacing w:val="0"/>
          <w:szCs w:val="24"/>
          <w:rtl/>
        </w:rPr>
        <w:t>חוק</w:t>
      </w:r>
      <w:r w:rsidRPr="005E19EF">
        <w:rPr>
          <w:rFonts w:ascii="Century" w:hAnsi="Century" w:cs="Miriam"/>
          <w:b/>
          <w:spacing w:val="0"/>
          <w:szCs w:val="24"/>
          <w:rtl/>
        </w:rPr>
        <w:t xml:space="preserve"> </w:t>
      </w:r>
      <w:r w:rsidRPr="005E19EF">
        <w:rPr>
          <w:rFonts w:ascii="Century" w:hAnsi="Century" w:cs="Miriam" w:hint="eastAsia"/>
          <w:b/>
          <w:spacing w:val="0"/>
          <w:szCs w:val="24"/>
          <w:rtl/>
        </w:rPr>
        <w:t>העובדים</w:t>
      </w:r>
      <w:r w:rsidRPr="005E19EF">
        <w:rPr>
          <w:rFonts w:ascii="Century" w:hAnsi="Century" w:cs="Miriam"/>
          <w:b/>
          <w:spacing w:val="0"/>
          <w:szCs w:val="24"/>
          <w:rtl/>
        </w:rPr>
        <w:t xml:space="preserve"> הסוציאליים</w:t>
      </w:r>
      <w:r>
        <w:rPr>
          <w:rFonts w:hint="cs"/>
          <w:rtl/>
        </w:rPr>
        <w:t>), מכיר בחיסיון סטטוטור</w:t>
      </w:r>
      <w:r>
        <w:rPr>
          <w:rFonts w:hint="eastAsia"/>
          <w:rtl/>
        </w:rPr>
        <w:t>י</w:t>
      </w:r>
      <w:r>
        <w:rPr>
          <w:rFonts w:hint="cs"/>
          <w:rtl/>
        </w:rPr>
        <w:t xml:space="preserve"> החל על מערכת היחסים בין עובד סוציאלי למי שמטופל על-ידו. וכך מורה סעיף זה:</w:t>
      </w:r>
    </w:p>
    <w:p w14:paraId="5CB7388B" w14:textId="77777777" w:rsidR="006A687A" w:rsidRDefault="006A687A" w:rsidP="006A687A">
      <w:pPr>
        <w:pStyle w:val="Ruller41"/>
        <w:rPr>
          <w:rtl/>
        </w:rPr>
      </w:pPr>
    </w:p>
    <w:p w14:paraId="7C010E6D" w14:textId="77777777" w:rsidR="006A687A" w:rsidRDefault="006A687A" w:rsidP="006A687A">
      <w:pPr>
        <w:pStyle w:val="Ruller5"/>
        <w:rPr>
          <w:rtl/>
        </w:rPr>
      </w:pPr>
      <w:r>
        <w:rPr>
          <w:rFonts w:hint="cs"/>
          <w:rtl/>
        </w:rPr>
        <w:t>"</w:t>
      </w:r>
      <w:r w:rsidRPr="0093178D">
        <w:rPr>
          <w:rtl/>
        </w:rPr>
        <w:t>(א)</w:t>
      </w:r>
      <w:r>
        <w:rPr>
          <w:rFonts w:hint="cs"/>
          <w:rtl/>
        </w:rPr>
        <w:t xml:space="preserve"> </w:t>
      </w:r>
      <w:r w:rsidRPr="0093178D">
        <w:rPr>
          <w:rtl/>
        </w:rPr>
        <w:t xml:space="preserve">עובד </w:t>
      </w:r>
      <w:r w:rsidRPr="0093178D">
        <w:rPr>
          <w:rFonts w:hint="eastAsia"/>
          <w:rtl/>
        </w:rPr>
        <w:t>סוציאלי</w:t>
      </w:r>
      <w:r w:rsidRPr="0093178D">
        <w:rPr>
          <w:rtl/>
        </w:rPr>
        <w:t xml:space="preserve"> </w:t>
      </w:r>
      <w:r w:rsidRPr="0093178D">
        <w:rPr>
          <w:rFonts w:hint="eastAsia"/>
          <w:rtl/>
        </w:rPr>
        <w:t>כהגדרתו</w:t>
      </w:r>
      <w:r w:rsidRPr="0093178D">
        <w:rPr>
          <w:rtl/>
        </w:rPr>
        <w:t xml:space="preserve"> </w:t>
      </w:r>
      <w:r w:rsidRPr="0093178D">
        <w:rPr>
          <w:rFonts w:hint="eastAsia"/>
          <w:rtl/>
        </w:rPr>
        <w:t>בחוק</w:t>
      </w:r>
      <w:r w:rsidRPr="0093178D">
        <w:rPr>
          <w:rtl/>
        </w:rPr>
        <w:t xml:space="preserve"> </w:t>
      </w:r>
      <w:r w:rsidRPr="0093178D">
        <w:rPr>
          <w:rFonts w:hint="eastAsia"/>
          <w:rtl/>
        </w:rPr>
        <w:t>העובדים</w:t>
      </w:r>
      <w:r w:rsidRPr="0093178D">
        <w:rPr>
          <w:rtl/>
        </w:rPr>
        <w:t xml:space="preserve"> </w:t>
      </w:r>
      <w:r w:rsidRPr="0093178D">
        <w:rPr>
          <w:rFonts w:hint="eastAsia"/>
          <w:rtl/>
        </w:rPr>
        <w:t>הסוציאליים</w:t>
      </w:r>
      <w:r w:rsidRPr="0093178D">
        <w:rPr>
          <w:rtl/>
        </w:rPr>
        <w:t xml:space="preserve">, </w:t>
      </w:r>
      <w:r w:rsidRPr="0093178D">
        <w:rPr>
          <w:rFonts w:hint="eastAsia"/>
          <w:rtl/>
        </w:rPr>
        <w:t>תשנ</w:t>
      </w:r>
      <w:r w:rsidRPr="0093178D">
        <w:rPr>
          <w:rtl/>
        </w:rPr>
        <w:t xml:space="preserve">"ו-1996, </w:t>
      </w:r>
      <w:r w:rsidRPr="0093178D">
        <w:rPr>
          <w:rFonts w:hint="eastAsia"/>
          <w:rtl/>
        </w:rPr>
        <w:t>אינו</w:t>
      </w:r>
      <w:r w:rsidRPr="0093178D">
        <w:rPr>
          <w:rtl/>
        </w:rPr>
        <w:t xml:space="preserve"> </w:t>
      </w:r>
      <w:r w:rsidRPr="0093178D">
        <w:rPr>
          <w:rFonts w:hint="eastAsia"/>
          <w:rtl/>
        </w:rPr>
        <w:t>חייב</w:t>
      </w:r>
      <w:r w:rsidRPr="0093178D">
        <w:rPr>
          <w:rtl/>
        </w:rPr>
        <w:t xml:space="preserve"> </w:t>
      </w:r>
      <w:r w:rsidRPr="0093178D">
        <w:rPr>
          <w:rFonts w:hint="eastAsia"/>
          <w:rtl/>
        </w:rPr>
        <w:t>למסור</w:t>
      </w:r>
      <w:r w:rsidRPr="0093178D">
        <w:rPr>
          <w:rtl/>
        </w:rPr>
        <w:t xml:space="preserve"> </w:t>
      </w:r>
      <w:r w:rsidRPr="0093178D">
        <w:rPr>
          <w:rFonts w:hint="eastAsia"/>
          <w:rtl/>
        </w:rPr>
        <w:t>ראיה</w:t>
      </w:r>
      <w:r w:rsidRPr="0093178D">
        <w:rPr>
          <w:rtl/>
        </w:rPr>
        <w:t xml:space="preserve"> </w:t>
      </w:r>
      <w:r w:rsidRPr="0093178D">
        <w:rPr>
          <w:rFonts w:hint="eastAsia"/>
          <w:rtl/>
        </w:rPr>
        <w:t>על</w:t>
      </w:r>
      <w:r w:rsidRPr="0093178D">
        <w:rPr>
          <w:rtl/>
        </w:rPr>
        <w:t xml:space="preserve"> </w:t>
      </w:r>
      <w:r w:rsidRPr="0093178D">
        <w:rPr>
          <w:rFonts w:hint="eastAsia"/>
          <w:rtl/>
        </w:rPr>
        <w:t>דבר</w:t>
      </w:r>
      <w:r w:rsidRPr="0093178D">
        <w:rPr>
          <w:rtl/>
        </w:rPr>
        <w:t xml:space="preserve"> </w:t>
      </w:r>
      <w:r w:rsidRPr="0093178D">
        <w:rPr>
          <w:rFonts w:hint="eastAsia"/>
          <w:rtl/>
        </w:rPr>
        <w:t>הנוגע</w:t>
      </w:r>
      <w:r w:rsidRPr="0093178D">
        <w:rPr>
          <w:rtl/>
        </w:rPr>
        <w:t xml:space="preserve"> </w:t>
      </w:r>
      <w:r w:rsidRPr="0093178D">
        <w:rPr>
          <w:rFonts w:hint="eastAsia"/>
          <w:rtl/>
        </w:rPr>
        <w:t>לאדם</w:t>
      </w:r>
      <w:r w:rsidRPr="0093178D">
        <w:rPr>
          <w:rtl/>
        </w:rPr>
        <w:t xml:space="preserve"> </w:t>
      </w:r>
      <w:r w:rsidRPr="0093178D">
        <w:rPr>
          <w:rFonts w:hint="eastAsia"/>
          <w:rtl/>
        </w:rPr>
        <w:t>שנזקק</w:t>
      </w:r>
      <w:r w:rsidRPr="0093178D">
        <w:rPr>
          <w:rtl/>
        </w:rPr>
        <w:t xml:space="preserve"> </w:t>
      </w:r>
      <w:r w:rsidRPr="0093178D">
        <w:rPr>
          <w:rFonts w:hint="eastAsia"/>
          <w:rtl/>
        </w:rPr>
        <w:t>לשירותו</w:t>
      </w:r>
      <w:r w:rsidRPr="0093178D">
        <w:rPr>
          <w:rtl/>
        </w:rPr>
        <w:t xml:space="preserve"> </w:t>
      </w:r>
      <w:r w:rsidRPr="0093178D">
        <w:rPr>
          <w:rFonts w:hint="eastAsia"/>
          <w:rtl/>
        </w:rPr>
        <w:t>והדבר</w:t>
      </w:r>
      <w:r w:rsidRPr="0093178D">
        <w:rPr>
          <w:rtl/>
        </w:rPr>
        <w:t xml:space="preserve"> </w:t>
      </w:r>
      <w:r w:rsidRPr="0093178D">
        <w:rPr>
          <w:rFonts w:hint="eastAsia"/>
          <w:rtl/>
        </w:rPr>
        <w:t>הגיע</w:t>
      </w:r>
      <w:r w:rsidRPr="0093178D">
        <w:rPr>
          <w:rtl/>
        </w:rPr>
        <w:t xml:space="preserve"> </w:t>
      </w:r>
      <w:r w:rsidRPr="0093178D">
        <w:rPr>
          <w:rFonts w:hint="eastAsia"/>
          <w:rtl/>
        </w:rPr>
        <w:t>אליו</w:t>
      </w:r>
      <w:r w:rsidRPr="0093178D">
        <w:rPr>
          <w:rtl/>
        </w:rPr>
        <w:t xml:space="preserve"> </w:t>
      </w:r>
      <w:r w:rsidRPr="0093178D">
        <w:rPr>
          <w:rFonts w:hint="eastAsia"/>
          <w:rtl/>
        </w:rPr>
        <w:t>תוך</w:t>
      </w:r>
      <w:r w:rsidRPr="0093178D">
        <w:rPr>
          <w:rtl/>
        </w:rPr>
        <w:t xml:space="preserve"> </w:t>
      </w:r>
      <w:r w:rsidRPr="0093178D">
        <w:rPr>
          <w:rFonts w:hint="eastAsia"/>
          <w:rtl/>
        </w:rPr>
        <w:t>עיסוקו</w:t>
      </w:r>
      <w:r w:rsidRPr="0093178D">
        <w:rPr>
          <w:rtl/>
        </w:rPr>
        <w:t xml:space="preserve"> </w:t>
      </w:r>
      <w:r w:rsidRPr="0093178D">
        <w:rPr>
          <w:rFonts w:hint="eastAsia"/>
          <w:rtl/>
        </w:rPr>
        <w:t>כעובד</w:t>
      </w:r>
      <w:r w:rsidRPr="0093178D">
        <w:rPr>
          <w:rtl/>
        </w:rPr>
        <w:t xml:space="preserve"> </w:t>
      </w:r>
      <w:r w:rsidRPr="0093178D">
        <w:rPr>
          <w:rFonts w:hint="eastAsia"/>
          <w:rtl/>
        </w:rPr>
        <w:t>סוציאלי</w:t>
      </w:r>
      <w:r w:rsidRPr="0093178D">
        <w:rPr>
          <w:rtl/>
        </w:rPr>
        <w:t xml:space="preserve"> </w:t>
      </w:r>
      <w:r w:rsidRPr="0093178D">
        <w:rPr>
          <w:rFonts w:hint="eastAsia"/>
          <w:rtl/>
        </w:rPr>
        <w:t>והוא</w:t>
      </w:r>
      <w:r w:rsidRPr="0093178D">
        <w:rPr>
          <w:rtl/>
        </w:rPr>
        <w:t xml:space="preserve"> </w:t>
      </w:r>
      <w:r w:rsidRPr="0093178D">
        <w:rPr>
          <w:rFonts w:hint="eastAsia"/>
          <w:rtl/>
        </w:rPr>
        <w:t>מן</w:t>
      </w:r>
      <w:r w:rsidRPr="0093178D">
        <w:rPr>
          <w:rtl/>
        </w:rPr>
        <w:t xml:space="preserve"> </w:t>
      </w:r>
      <w:r w:rsidRPr="0093178D">
        <w:rPr>
          <w:rFonts w:hint="eastAsia"/>
          <w:rtl/>
        </w:rPr>
        <w:t>הדברים</w:t>
      </w:r>
      <w:r w:rsidRPr="0093178D">
        <w:rPr>
          <w:rtl/>
        </w:rPr>
        <w:t xml:space="preserve"> </w:t>
      </w:r>
      <w:r w:rsidRPr="0093178D">
        <w:rPr>
          <w:rFonts w:hint="eastAsia"/>
          <w:rtl/>
        </w:rPr>
        <w:t>שלפי</w:t>
      </w:r>
      <w:r w:rsidRPr="0093178D">
        <w:rPr>
          <w:rtl/>
        </w:rPr>
        <w:t xml:space="preserve"> </w:t>
      </w:r>
      <w:r w:rsidRPr="0093178D">
        <w:rPr>
          <w:rFonts w:hint="eastAsia"/>
          <w:rtl/>
        </w:rPr>
        <w:t>טיבם</w:t>
      </w:r>
      <w:r w:rsidRPr="0093178D">
        <w:rPr>
          <w:rtl/>
        </w:rPr>
        <w:t xml:space="preserve"> </w:t>
      </w:r>
      <w:r w:rsidRPr="0093178D">
        <w:rPr>
          <w:rFonts w:hint="eastAsia"/>
          <w:rtl/>
        </w:rPr>
        <w:t>נמסרים</w:t>
      </w:r>
      <w:r w:rsidRPr="0093178D">
        <w:rPr>
          <w:rtl/>
        </w:rPr>
        <w:t xml:space="preserve"> </w:t>
      </w:r>
      <w:r w:rsidRPr="0093178D">
        <w:rPr>
          <w:rFonts w:hint="eastAsia"/>
          <w:rtl/>
        </w:rPr>
        <w:t>לעובד</w:t>
      </w:r>
      <w:r w:rsidRPr="0093178D">
        <w:rPr>
          <w:rtl/>
        </w:rPr>
        <w:t xml:space="preserve"> </w:t>
      </w:r>
      <w:r w:rsidRPr="0093178D">
        <w:rPr>
          <w:rFonts w:hint="eastAsia"/>
          <w:rtl/>
        </w:rPr>
        <w:t>סוציאלי</w:t>
      </w:r>
      <w:r w:rsidRPr="0093178D">
        <w:rPr>
          <w:rtl/>
        </w:rPr>
        <w:t xml:space="preserve"> </w:t>
      </w:r>
      <w:r w:rsidRPr="0093178D">
        <w:rPr>
          <w:rFonts w:hint="eastAsia"/>
          <w:rtl/>
        </w:rPr>
        <w:t>בדרך</w:t>
      </w:r>
      <w:r w:rsidRPr="0093178D">
        <w:rPr>
          <w:rtl/>
        </w:rPr>
        <w:t xml:space="preserve"> </w:t>
      </w:r>
      <w:r w:rsidRPr="0093178D">
        <w:rPr>
          <w:rFonts w:hint="eastAsia"/>
          <w:rtl/>
        </w:rPr>
        <w:t>כלל</w:t>
      </w:r>
      <w:r w:rsidRPr="0093178D">
        <w:rPr>
          <w:rtl/>
        </w:rPr>
        <w:t xml:space="preserve"> </w:t>
      </w:r>
      <w:r w:rsidRPr="0093178D">
        <w:rPr>
          <w:rFonts w:hint="eastAsia"/>
          <w:rtl/>
        </w:rPr>
        <w:t>מתוך</w:t>
      </w:r>
      <w:r w:rsidRPr="0093178D">
        <w:rPr>
          <w:rtl/>
        </w:rPr>
        <w:t xml:space="preserve"> </w:t>
      </w:r>
      <w:r w:rsidRPr="0093178D">
        <w:rPr>
          <w:rFonts w:hint="eastAsia"/>
          <w:rtl/>
        </w:rPr>
        <w:t>אמון</w:t>
      </w:r>
      <w:r w:rsidRPr="0093178D">
        <w:rPr>
          <w:rtl/>
        </w:rPr>
        <w:t xml:space="preserve"> </w:t>
      </w:r>
      <w:r w:rsidRPr="0093178D">
        <w:rPr>
          <w:rFonts w:hint="eastAsia"/>
          <w:rtl/>
        </w:rPr>
        <w:t>שישמרם</w:t>
      </w:r>
      <w:r w:rsidRPr="0093178D">
        <w:rPr>
          <w:rtl/>
        </w:rPr>
        <w:t xml:space="preserve"> </w:t>
      </w:r>
      <w:r w:rsidRPr="0093178D">
        <w:rPr>
          <w:rFonts w:hint="eastAsia"/>
          <w:rtl/>
        </w:rPr>
        <w:t>בסוד</w:t>
      </w:r>
      <w:r w:rsidRPr="0093178D">
        <w:rPr>
          <w:rtl/>
        </w:rPr>
        <w:t xml:space="preserve">, </w:t>
      </w:r>
      <w:r w:rsidRPr="0093178D">
        <w:rPr>
          <w:rFonts w:hint="eastAsia"/>
          <w:rtl/>
        </w:rPr>
        <w:t>אלא</w:t>
      </w:r>
      <w:r w:rsidRPr="0093178D">
        <w:rPr>
          <w:rtl/>
        </w:rPr>
        <w:t xml:space="preserve"> </w:t>
      </w:r>
      <w:r w:rsidRPr="0093178D">
        <w:rPr>
          <w:rFonts w:hint="eastAsia"/>
          <w:rtl/>
        </w:rPr>
        <w:t>אם</w:t>
      </w:r>
      <w:r w:rsidRPr="0093178D">
        <w:rPr>
          <w:rtl/>
        </w:rPr>
        <w:t xml:space="preserve"> </w:t>
      </w:r>
      <w:r w:rsidRPr="0093178D">
        <w:rPr>
          <w:rFonts w:hint="eastAsia"/>
          <w:rtl/>
        </w:rPr>
        <w:t>כן</w:t>
      </w:r>
      <w:r w:rsidRPr="0093178D">
        <w:rPr>
          <w:rtl/>
        </w:rPr>
        <w:t xml:space="preserve"> </w:t>
      </w:r>
      <w:r w:rsidRPr="0093178D">
        <w:rPr>
          <w:rFonts w:hint="eastAsia"/>
          <w:rtl/>
        </w:rPr>
        <w:t>ויתר</w:t>
      </w:r>
      <w:r w:rsidRPr="0093178D">
        <w:rPr>
          <w:rtl/>
        </w:rPr>
        <w:t xml:space="preserve"> </w:t>
      </w:r>
      <w:r w:rsidRPr="0093178D">
        <w:rPr>
          <w:rFonts w:hint="eastAsia"/>
          <w:rtl/>
        </w:rPr>
        <w:t>האדם</w:t>
      </w:r>
      <w:r w:rsidRPr="0093178D">
        <w:rPr>
          <w:rtl/>
        </w:rPr>
        <w:t xml:space="preserve"> </w:t>
      </w:r>
      <w:r w:rsidRPr="0093178D">
        <w:rPr>
          <w:rFonts w:hint="eastAsia"/>
          <w:rtl/>
        </w:rPr>
        <w:t>על</w:t>
      </w:r>
      <w:r w:rsidRPr="0093178D">
        <w:rPr>
          <w:rtl/>
        </w:rPr>
        <w:t xml:space="preserve"> </w:t>
      </w:r>
      <w:proofErr w:type="spellStart"/>
      <w:r w:rsidRPr="0093178D">
        <w:rPr>
          <w:rFonts w:hint="eastAsia"/>
          <w:rtl/>
        </w:rPr>
        <w:t>החסיון</w:t>
      </w:r>
      <w:proofErr w:type="spellEnd"/>
      <w:r w:rsidRPr="0093178D">
        <w:rPr>
          <w:rtl/>
        </w:rPr>
        <w:t xml:space="preserve"> </w:t>
      </w:r>
      <w:r w:rsidRPr="0093178D">
        <w:rPr>
          <w:rFonts w:hint="eastAsia"/>
          <w:rtl/>
        </w:rPr>
        <w:t>או</w:t>
      </w:r>
      <w:r w:rsidRPr="0093178D">
        <w:rPr>
          <w:rtl/>
        </w:rPr>
        <w:t xml:space="preserve"> </w:t>
      </w:r>
      <w:r w:rsidRPr="0093178D">
        <w:rPr>
          <w:rFonts w:hint="eastAsia"/>
          <w:rtl/>
        </w:rPr>
        <w:t>שבית</w:t>
      </w:r>
      <w:r w:rsidRPr="0093178D">
        <w:rPr>
          <w:rtl/>
        </w:rPr>
        <w:t xml:space="preserve"> </w:t>
      </w:r>
      <w:r w:rsidRPr="0093178D">
        <w:rPr>
          <w:rFonts w:hint="eastAsia"/>
          <w:rtl/>
        </w:rPr>
        <w:t>המשפט</w:t>
      </w:r>
      <w:r w:rsidRPr="0093178D">
        <w:rPr>
          <w:rtl/>
        </w:rPr>
        <w:t xml:space="preserve"> </w:t>
      </w:r>
      <w:r w:rsidRPr="0093178D">
        <w:rPr>
          <w:rFonts w:hint="eastAsia"/>
          <w:rtl/>
        </w:rPr>
        <w:t>מצא</w:t>
      </w:r>
      <w:r w:rsidRPr="0093178D">
        <w:rPr>
          <w:rtl/>
        </w:rPr>
        <w:t xml:space="preserve"> </w:t>
      </w:r>
      <w:r w:rsidRPr="0093178D">
        <w:rPr>
          <w:rFonts w:hint="eastAsia"/>
          <w:rtl/>
        </w:rPr>
        <w:t>כי</w:t>
      </w:r>
      <w:r w:rsidRPr="0093178D">
        <w:rPr>
          <w:rtl/>
        </w:rPr>
        <w:t xml:space="preserve"> </w:t>
      </w:r>
      <w:r w:rsidRPr="0093178D">
        <w:rPr>
          <w:rFonts w:hint="eastAsia"/>
          <w:rtl/>
        </w:rPr>
        <w:t>הצורך</w:t>
      </w:r>
      <w:r w:rsidRPr="0093178D">
        <w:rPr>
          <w:rtl/>
        </w:rPr>
        <w:t xml:space="preserve"> </w:t>
      </w:r>
      <w:r w:rsidRPr="0093178D">
        <w:rPr>
          <w:rFonts w:hint="eastAsia"/>
          <w:rtl/>
        </w:rPr>
        <w:t>לגלות</w:t>
      </w:r>
      <w:r w:rsidRPr="0093178D">
        <w:rPr>
          <w:rtl/>
        </w:rPr>
        <w:t xml:space="preserve"> </w:t>
      </w:r>
      <w:r w:rsidRPr="0093178D">
        <w:rPr>
          <w:rFonts w:hint="eastAsia"/>
          <w:rtl/>
        </w:rPr>
        <w:t>את</w:t>
      </w:r>
      <w:r w:rsidRPr="0093178D">
        <w:rPr>
          <w:rtl/>
        </w:rPr>
        <w:t xml:space="preserve"> </w:t>
      </w:r>
      <w:r w:rsidRPr="0093178D">
        <w:rPr>
          <w:rFonts w:hint="eastAsia"/>
          <w:rtl/>
        </w:rPr>
        <w:t>הראיה</w:t>
      </w:r>
      <w:r w:rsidRPr="0093178D">
        <w:rPr>
          <w:rtl/>
        </w:rPr>
        <w:t xml:space="preserve"> </w:t>
      </w:r>
      <w:r w:rsidRPr="0093178D">
        <w:rPr>
          <w:rFonts w:hint="eastAsia"/>
          <w:rtl/>
        </w:rPr>
        <w:t>לשם</w:t>
      </w:r>
      <w:r w:rsidRPr="0093178D">
        <w:rPr>
          <w:rtl/>
        </w:rPr>
        <w:t xml:space="preserve"> </w:t>
      </w:r>
      <w:r w:rsidRPr="0093178D">
        <w:rPr>
          <w:rFonts w:hint="eastAsia"/>
          <w:rtl/>
        </w:rPr>
        <w:t>עשיית</w:t>
      </w:r>
      <w:r w:rsidRPr="0093178D">
        <w:rPr>
          <w:rtl/>
        </w:rPr>
        <w:t xml:space="preserve"> </w:t>
      </w:r>
      <w:r w:rsidRPr="0093178D">
        <w:rPr>
          <w:rFonts w:hint="eastAsia"/>
          <w:rtl/>
        </w:rPr>
        <w:t>צדק</w:t>
      </w:r>
      <w:r w:rsidRPr="0093178D">
        <w:rPr>
          <w:rtl/>
        </w:rPr>
        <w:t xml:space="preserve"> </w:t>
      </w:r>
      <w:r w:rsidRPr="0093178D">
        <w:rPr>
          <w:rFonts w:hint="eastAsia"/>
          <w:rtl/>
        </w:rPr>
        <w:t>עדיף</w:t>
      </w:r>
      <w:r w:rsidRPr="0093178D">
        <w:rPr>
          <w:rtl/>
        </w:rPr>
        <w:t xml:space="preserve"> </w:t>
      </w:r>
      <w:r w:rsidRPr="0093178D">
        <w:rPr>
          <w:rFonts w:hint="eastAsia"/>
          <w:rtl/>
        </w:rPr>
        <w:t>על</w:t>
      </w:r>
      <w:r w:rsidRPr="0093178D">
        <w:rPr>
          <w:rtl/>
        </w:rPr>
        <w:t xml:space="preserve"> </w:t>
      </w:r>
      <w:proofErr w:type="spellStart"/>
      <w:r w:rsidRPr="0093178D">
        <w:rPr>
          <w:rFonts w:hint="eastAsia"/>
          <w:rtl/>
        </w:rPr>
        <w:t>הענין</w:t>
      </w:r>
      <w:proofErr w:type="spellEnd"/>
      <w:r w:rsidRPr="0093178D">
        <w:rPr>
          <w:rtl/>
        </w:rPr>
        <w:t xml:space="preserve"> </w:t>
      </w:r>
      <w:r w:rsidRPr="0093178D">
        <w:rPr>
          <w:rFonts w:hint="eastAsia"/>
          <w:rtl/>
        </w:rPr>
        <w:t>שיש</w:t>
      </w:r>
      <w:r w:rsidRPr="0093178D">
        <w:rPr>
          <w:rtl/>
        </w:rPr>
        <w:t xml:space="preserve"> </w:t>
      </w:r>
      <w:r w:rsidRPr="0093178D">
        <w:rPr>
          <w:rFonts w:hint="eastAsia"/>
          <w:rtl/>
        </w:rPr>
        <w:t>שלא</w:t>
      </w:r>
      <w:r w:rsidRPr="0093178D">
        <w:rPr>
          <w:rtl/>
        </w:rPr>
        <w:t xml:space="preserve"> </w:t>
      </w:r>
      <w:r w:rsidRPr="0093178D">
        <w:rPr>
          <w:rFonts w:hint="eastAsia"/>
          <w:rtl/>
        </w:rPr>
        <w:t>לגלותה</w:t>
      </w:r>
      <w:r w:rsidRPr="0093178D">
        <w:rPr>
          <w:rtl/>
        </w:rPr>
        <w:t>.</w:t>
      </w:r>
    </w:p>
    <w:p w14:paraId="4F9354F2" w14:textId="77777777" w:rsidR="006A687A" w:rsidRDefault="006A687A" w:rsidP="006A687A">
      <w:pPr>
        <w:pStyle w:val="Ruller5"/>
        <w:rPr>
          <w:rtl/>
        </w:rPr>
      </w:pPr>
      <w:r w:rsidRPr="0093178D">
        <w:rPr>
          <w:rtl/>
        </w:rPr>
        <w:t xml:space="preserve">(ב)  הוראות </w:t>
      </w:r>
      <w:r w:rsidRPr="0093178D">
        <w:rPr>
          <w:rFonts w:hint="eastAsia"/>
          <w:rtl/>
        </w:rPr>
        <w:t>סעיף</w:t>
      </w:r>
      <w:r w:rsidRPr="0093178D">
        <w:rPr>
          <w:rtl/>
        </w:rPr>
        <w:t xml:space="preserve"> </w:t>
      </w:r>
      <w:r w:rsidRPr="0093178D">
        <w:rPr>
          <w:rFonts w:hint="eastAsia"/>
          <w:rtl/>
        </w:rPr>
        <w:t>קטן</w:t>
      </w:r>
      <w:r w:rsidRPr="0093178D">
        <w:rPr>
          <w:rtl/>
        </w:rPr>
        <w:t xml:space="preserve"> (א) </w:t>
      </w:r>
      <w:r w:rsidRPr="0093178D">
        <w:rPr>
          <w:rFonts w:hint="eastAsia"/>
          <w:rtl/>
        </w:rPr>
        <w:t>יחולו</w:t>
      </w:r>
      <w:r w:rsidRPr="0093178D">
        <w:rPr>
          <w:rtl/>
        </w:rPr>
        <w:t xml:space="preserve"> </w:t>
      </w:r>
      <w:r w:rsidRPr="0093178D">
        <w:rPr>
          <w:rFonts w:hint="eastAsia"/>
          <w:rtl/>
        </w:rPr>
        <w:t>גם</w:t>
      </w:r>
      <w:r w:rsidRPr="0093178D">
        <w:rPr>
          <w:rtl/>
        </w:rPr>
        <w:t xml:space="preserve"> </w:t>
      </w:r>
      <w:r w:rsidRPr="0093178D">
        <w:rPr>
          <w:rFonts w:hint="eastAsia"/>
          <w:rtl/>
        </w:rPr>
        <w:t>לאחר</w:t>
      </w:r>
      <w:r w:rsidRPr="0093178D">
        <w:rPr>
          <w:rtl/>
        </w:rPr>
        <w:t xml:space="preserve"> </w:t>
      </w:r>
      <w:r w:rsidRPr="0093178D">
        <w:rPr>
          <w:rFonts w:hint="eastAsia"/>
          <w:rtl/>
        </w:rPr>
        <w:t>שחדל</w:t>
      </w:r>
      <w:r w:rsidRPr="0093178D">
        <w:rPr>
          <w:rtl/>
        </w:rPr>
        <w:t xml:space="preserve"> </w:t>
      </w:r>
      <w:r w:rsidRPr="0093178D">
        <w:rPr>
          <w:rFonts w:hint="eastAsia"/>
          <w:rtl/>
        </w:rPr>
        <w:t>העד</w:t>
      </w:r>
      <w:r w:rsidRPr="0093178D">
        <w:rPr>
          <w:rtl/>
        </w:rPr>
        <w:t xml:space="preserve"> </w:t>
      </w:r>
      <w:r w:rsidRPr="0093178D">
        <w:rPr>
          <w:rFonts w:hint="eastAsia"/>
          <w:rtl/>
        </w:rPr>
        <w:t>להיות</w:t>
      </w:r>
      <w:r w:rsidRPr="0093178D">
        <w:rPr>
          <w:rtl/>
        </w:rPr>
        <w:t xml:space="preserve"> </w:t>
      </w:r>
      <w:r w:rsidRPr="0093178D">
        <w:rPr>
          <w:rFonts w:hint="eastAsia"/>
          <w:rtl/>
        </w:rPr>
        <w:t>עובד</w:t>
      </w:r>
      <w:r w:rsidRPr="0093178D">
        <w:rPr>
          <w:rtl/>
        </w:rPr>
        <w:t xml:space="preserve"> </w:t>
      </w:r>
      <w:r w:rsidRPr="0093178D">
        <w:rPr>
          <w:rFonts w:hint="eastAsia"/>
          <w:rtl/>
        </w:rPr>
        <w:t>סוציאלי</w:t>
      </w:r>
      <w:r w:rsidRPr="0093178D">
        <w:rPr>
          <w:rtl/>
        </w:rPr>
        <w:t>.</w:t>
      </w:r>
    </w:p>
    <w:p w14:paraId="622EB0BD" w14:textId="77777777" w:rsidR="006A687A" w:rsidRPr="0093178D" w:rsidRDefault="006A687A" w:rsidP="006A687A">
      <w:pPr>
        <w:pStyle w:val="Ruller5"/>
        <w:rPr>
          <w:rtl/>
        </w:rPr>
      </w:pPr>
      <w:r w:rsidRPr="0093178D">
        <w:rPr>
          <w:rtl/>
        </w:rPr>
        <w:t xml:space="preserve">(ג) נטען </w:t>
      </w:r>
      <w:r w:rsidRPr="0093178D">
        <w:rPr>
          <w:rFonts w:hint="eastAsia"/>
          <w:rtl/>
        </w:rPr>
        <w:t>חסיון</w:t>
      </w:r>
      <w:r w:rsidRPr="0093178D">
        <w:rPr>
          <w:rtl/>
        </w:rPr>
        <w:t xml:space="preserve"> </w:t>
      </w:r>
      <w:r w:rsidRPr="0093178D">
        <w:rPr>
          <w:rFonts w:hint="eastAsia"/>
          <w:rtl/>
        </w:rPr>
        <w:t>לפי</w:t>
      </w:r>
      <w:r w:rsidRPr="0093178D">
        <w:rPr>
          <w:rtl/>
        </w:rPr>
        <w:t xml:space="preserve"> </w:t>
      </w:r>
      <w:r w:rsidRPr="0093178D">
        <w:rPr>
          <w:rFonts w:hint="eastAsia"/>
          <w:rtl/>
        </w:rPr>
        <w:t>סעיף</w:t>
      </w:r>
      <w:r w:rsidRPr="0093178D">
        <w:rPr>
          <w:rtl/>
        </w:rPr>
        <w:t xml:space="preserve"> </w:t>
      </w:r>
      <w:r w:rsidRPr="0093178D">
        <w:rPr>
          <w:rFonts w:hint="eastAsia"/>
          <w:rtl/>
        </w:rPr>
        <w:t>זה</w:t>
      </w:r>
      <w:r w:rsidRPr="0093178D">
        <w:rPr>
          <w:rtl/>
        </w:rPr>
        <w:t xml:space="preserve">, </w:t>
      </w:r>
      <w:r w:rsidRPr="0093178D">
        <w:rPr>
          <w:rFonts w:hint="eastAsia"/>
          <w:rtl/>
        </w:rPr>
        <w:t>יהיה</w:t>
      </w:r>
      <w:r w:rsidRPr="0093178D">
        <w:rPr>
          <w:rtl/>
        </w:rPr>
        <w:t xml:space="preserve"> </w:t>
      </w:r>
      <w:r w:rsidRPr="0093178D">
        <w:rPr>
          <w:rFonts w:hint="eastAsia"/>
          <w:rtl/>
        </w:rPr>
        <w:t>הדיון</w:t>
      </w:r>
      <w:r w:rsidRPr="0093178D">
        <w:rPr>
          <w:rtl/>
        </w:rPr>
        <w:t xml:space="preserve"> </w:t>
      </w:r>
      <w:r w:rsidRPr="0093178D">
        <w:rPr>
          <w:rFonts w:hint="eastAsia"/>
          <w:rtl/>
        </w:rPr>
        <w:t>בדלתיים</w:t>
      </w:r>
      <w:r w:rsidRPr="0093178D">
        <w:rPr>
          <w:rtl/>
        </w:rPr>
        <w:t xml:space="preserve"> </w:t>
      </w:r>
      <w:r w:rsidRPr="0093178D">
        <w:rPr>
          <w:rFonts w:hint="eastAsia"/>
          <w:rtl/>
        </w:rPr>
        <w:t>סגורות</w:t>
      </w:r>
      <w:r w:rsidRPr="0093178D">
        <w:rPr>
          <w:rtl/>
        </w:rPr>
        <w:t xml:space="preserve">; </w:t>
      </w:r>
      <w:r w:rsidRPr="0093178D">
        <w:rPr>
          <w:rFonts w:hint="eastAsia"/>
          <w:rtl/>
        </w:rPr>
        <w:t>החליט</w:t>
      </w:r>
      <w:r w:rsidRPr="0093178D">
        <w:rPr>
          <w:rtl/>
        </w:rPr>
        <w:t xml:space="preserve"> </w:t>
      </w:r>
      <w:r w:rsidRPr="0093178D">
        <w:rPr>
          <w:rFonts w:hint="eastAsia"/>
          <w:rtl/>
        </w:rPr>
        <w:t>בית</w:t>
      </w:r>
      <w:r w:rsidRPr="0093178D">
        <w:rPr>
          <w:rtl/>
        </w:rPr>
        <w:t xml:space="preserve"> </w:t>
      </w:r>
      <w:r w:rsidRPr="0093178D">
        <w:rPr>
          <w:rFonts w:hint="eastAsia"/>
          <w:rtl/>
        </w:rPr>
        <w:t>המשפט</w:t>
      </w:r>
      <w:r w:rsidRPr="0093178D">
        <w:rPr>
          <w:rtl/>
        </w:rPr>
        <w:t xml:space="preserve"> </w:t>
      </w:r>
      <w:r w:rsidRPr="0093178D">
        <w:rPr>
          <w:rFonts w:hint="eastAsia"/>
          <w:rtl/>
        </w:rPr>
        <w:t>לשמוע</w:t>
      </w:r>
      <w:r w:rsidRPr="0093178D">
        <w:rPr>
          <w:rtl/>
        </w:rPr>
        <w:t xml:space="preserve"> </w:t>
      </w:r>
      <w:r w:rsidRPr="0093178D">
        <w:rPr>
          <w:rFonts w:hint="eastAsia"/>
          <w:rtl/>
        </w:rPr>
        <w:t>את</w:t>
      </w:r>
      <w:r w:rsidRPr="0093178D">
        <w:rPr>
          <w:rtl/>
        </w:rPr>
        <w:t xml:space="preserve"> </w:t>
      </w:r>
      <w:r w:rsidRPr="0093178D">
        <w:rPr>
          <w:rFonts w:hint="eastAsia"/>
          <w:rtl/>
        </w:rPr>
        <w:t>העדות</w:t>
      </w:r>
      <w:r w:rsidRPr="0093178D">
        <w:rPr>
          <w:rtl/>
        </w:rPr>
        <w:t xml:space="preserve">, </w:t>
      </w:r>
      <w:r w:rsidRPr="0093178D">
        <w:rPr>
          <w:rFonts w:hint="eastAsia"/>
          <w:rtl/>
        </w:rPr>
        <w:t>רשאי</w:t>
      </w:r>
      <w:r w:rsidRPr="0093178D">
        <w:rPr>
          <w:rtl/>
        </w:rPr>
        <w:t xml:space="preserve"> </w:t>
      </w:r>
      <w:r w:rsidRPr="0093178D">
        <w:rPr>
          <w:rFonts w:hint="eastAsia"/>
          <w:rtl/>
        </w:rPr>
        <w:t>הוא</w:t>
      </w:r>
      <w:r w:rsidRPr="0093178D">
        <w:rPr>
          <w:rtl/>
        </w:rPr>
        <w:t xml:space="preserve"> </w:t>
      </w:r>
      <w:r w:rsidRPr="0093178D">
        <w:rPr>
          <w:rFonts w:hint="eastAsia"/>
          <w:rtl/>
        </w:rPr>
        <w:t>לשמעה</w:t>
      </w:r>
      <w:r w:rsidRPr="0093178D">
        <w:rPr>
          <w:rtl/>
        </w:rPr>
        <w:t xml:space="preserve"> </w:t>
      </w:r>
      <w:r w:rsidRPr="0093178D">
        <w:rPr>
          <w:rFonts w:hint="eastAsia"/>
          <w:rtl/>
        </w:rPr>
        <w:t>בדלתיים</w:t>
      </w:r>
      <w:r w:rsidRPr="0093178D">
        <w:rPr>
          <w:rtl/>
        </w:rPr>
        <w:t xml:space="preserve"> </w:t>
      </w:r>
      <w:r w:rsidRPr="0093178D">
        <w:rPr>
          <w:rFonts w:hint="eastAsia"/>
          <w:rtl/>
        </w:rPr>
        <w:t>סגורות</w:t>
      </w:r>
      <w:r>
        <w:rPr>
          <w:rFonts w:hint="cs"/>
          <w:rtl/>
        </w:rPr>
        <w:t>".</w:t>
      </w:r>
    </w:p>
    <w:p w14:paraId="343F20EC" w14:textId="77777777" w:rsidR="006A687A" w:rsidRDefault="006A687A" w:rsidP="00A10C3C">
      <w:pPr>
        <w:pStyle w:val="Ruller41"/>
        <w:rPr>
          <w:rtl/>
        </w:rPr>
      </w:pPr>
    </w:p>
    <w:p w14:paraId="74DEC48A" w14:textId="7A441C13" w:rsidR="006A687A" w:rsidRDefault="006A687A" w:rsidP="00C237FD">
      <w:pPr>
        <w:pStyle w:val="Ruller41"/>
        <w:rPr>
          <w:rtl/>
        </w:rPr>
      </w:pPr>
      <w:r>
        <w:rPr>
          <w:rFonts w:hint="cs"/>
          <w:rtl/>
        </w:rPr>
        <w:t>4.</w:t>
      </w:r>
      <w:r>
        <w:rPr>
          <w:rFonts w:hint="cs"/>
          <w:rtl/>
        </w:rPr>
        <w:tab/>
        <w:t xml:space="preserve">ההכרה בחיסיון זה התווספה לחסיונות מקצועיים נוספים שהוכרו עוד קודם לכן ביחס לבעלי מקצועות טיפוליים (רופאים ופסיכולוגים שעניינם מוסדר בסעיפים </w:t>
      </w:r>
      <w:r w:rsidR="00A52206">
        <w:rPr>
          <w:rFonts w:hint="cs"/>
          <w:rtl/>
        </w:rPr>
        <w:t>50-49</w:t>
      </w:r>
      <w:r>
        <w:rPr>
          <w:rFonts w:hint="cs"/>
          <w:rtl/>
        </w:rPr>
        <w:t xml:space="preserve"> לפקודה). ביסודה עומד הרצון להגן בראש ובראשונה על המטופל ועל מערכת היחסים בינו לבין הגורם המטפל, המושתתת מטבעה על אמון. מדובר בחיסיון של המטופל ולטובתו, ולא בחיסיון המוענק לעובד הסוציאלי עצמו. קיומו של החיסיון נועד לעודד את המטופל לחשוף מידע אישי ופרטי, הנחוץ להצלחת הטיפול, מבלי שיחשוש שמא מידע זה ייחשף בידי צד שלישי (ראו למשל: </w:t>
      </w:r>
      <w:proofErr w:type="spellStart"/>
      <w:r w:rsidRPr="00F71245">
        <w:rPr>
          <w:rFonts w:hint="eastAsia"/>
          <w:rtl/>
        </w:rPr>
        <w:t>בש</w:t>
      </w:r>
      <w:r w:rsidRPr="00F71245">
        <w:rPr>
          <w:rtl/>
        </w:rPr>
        <w:t>"</w:t>
      </w:r>
      <w:r w:rsidRPr="00F71245">
        <w:rPr>
          <w:rFonts w:hint="eastAsia"/>
          <w:rtl/>
        </w:rPr>
        <w:t>פ</w:t>
      </w:r>
      <w:proofErr w:type="spellEnd"/>
      <w:r w:rsidRPr="00F71245">
        <w:rPr>
          <w:rtl/>
        </w:rPr>
        <w:t xml:space="preserve"> 8555/06 </w:t>
      </w:r>
      <w:r w:rsidRPr="0093178D">
        <w:rPr>
          <w:rFonts w:ascii="Century" w:hAnsi="Century" w:cs="Miriam" w:hint="eastAsia"/>
          <w:b/>
          <w:spacing w:val="0"/>
          <w:szCs w:val="24"/>
          <w:rtl/>
        </w:rPr>
        <w:t>פלוני</w:t>
      </w:r>
      <w:r w:rsidRPr="0093178D">
        <w:rPr>
          <w:rFonts w:ascii="Century" w:hAnsi="Century" w:cs="Miriam"/>
          <w:b/>
          <w:spacing w:val="0"/>
          <w:szCs w:val="24"/>
          <w:rtl/>
        </w:rPr>
        <w:t xml:space="preserve"> </w:t>
      </w:r>
      <w:r w:rsidRPr="0093178D">
        <w:rPr>
          <w:rFonts w:ascii="Century" w:hAnsi="Century" w:cs="Miriam" w:hint="eastAsia"/>
          <w:b/>
          <w:spacing w:val="0"/>
          <w:szCs w:val="24"/>
          <w:rtl/>
        </w:rPr>
        <w:t>נ</w:t>
      </w:r>
      <w:r w:rsidRPr="0093178D">
        <w:rPr>
          <w:rFonts w:ascii="Century" w:hAnsi="Century" w:cs="Miriam"/>
          <w:b/>
          <w:spacing w:val="0"/>
          <w:szCs w:val="24"/>
          <w:rtl/>
        </w:rPr>
        <w:t xml:space="preserve">' </w:t>
      </w:r>
      <w:r w:rsidRPr="0093178D">
        <w:rPr>
          <w:rFonts w:ascii="Century" w:hAnsi="Century" w:cs="Miriam" w:hint="eastAsia"/>
          <w:b/>
          <w:spacing w:val="0"/>
          <w:szCs w:val="24"/>
          <w:rtl/>
        </w:rPr>
        <w:t>מדינת</w:t>
      </w:r>
      <w:r w:rsidRPr="0093178D">
        <w:rPr>
          <w:rFonts w:ascii="Century" w:hAnsi="Century" w:cs="Miriam"/>
          <w:b/>
          <w:spacing w:val="0"/>
          <w:szCs w:val="24"/>
          <w:rtl/>
        </w:rPr>
        <w:t xml:space="preserve"> </w:t>
      </w:r>
      <w:r w:rsidRPr="0093178D">
        <w:rPr>
          <w:rFonts w:ascii="Century" w:hAnsi="Century" w:cs="Miriam" w:hint="eastAsia"/>
          <w:b/>
          <w:spacing w:val="0"/>
          <w:szCs w:val="24"/>
          <w:rtl/>
        </w:rPr>
        <w:t>ישראל</w:t>
      </w:r>
      <w:r w:rsidRPr="00F71245">
        <w:rPr>
          <w:rtl/>
        </w:rPr>
        <w:t xml:space="preserve">, </w:t>
      </w:r>
      <w:r w:rsidRPr="00F71245">
        <w:rPr>
          <w:rFonts w:hint="eastAsia"/>
          <w:rtl/>
        </w:rPr>
        <w:t>פסקה</w:t>
      </w:r>
      <w:r w:rsidRPr="00F71245">
        <w:rPr>
          <w:rtl/>
        </w:rPr>
        <w:t xml:space="preserve"> </w:t>
      </w:r>
      <w:r w:rsidRPr="00F71245">
        <w:rPr>
          <w:rFonts w:hint="eastAsia"/>
          <w:rtl/>
        </w:rPr>
        <w:t>ז</w:t>
      </w:r>
      <w:r w:rsidRPr="00F71245">
        <w:rPr>
          <w:rtl/>
        </w:rPr>
        <w:t>' (13.11.2006)</w:t>
      </w:r>
      <w:r>
        <w:rPr>
          <w:rFonts w:hint="cs"/>
          <w:rtl/>
        </w:rPr>
        <w:t xml:space="preserve">; </w:t>
      </w:r>
      <w:r w:rsidRPr="00860359">
        <w:rPr>
          <w:rFonts w:hint="eastAsia"/>
          <w:rtl/>
        </w:rPr>
        <w:t>ע</w:t>
      </w:r>
      <w:r w:rsidRPr="00860359">
        <w:rPr>
          <w:rtl/>
        </w:rPr>
        <w:t>"</w:t>
      </w:r>
      <w:r w:rsidRPr="00860359">
        <w:rPr>
          <w:rFonts w:hint="eastAsia"/>
          <w:rtl/>
        </w:rPr>
        <w:t>פ</w:t>
      </w:r>
      <w:r w:rsidRPr="00860359">
        <w:rPr>
          <w:rtl/>
        </w:rPr>
        <w:t xml:space="preserve"> 3472/11 </w:t>
      </w:r>
      <w:r w:rsidRPr="0093178D">
        <w:rPr>
          <w:rFonts w:ascii="Century" w:hAnsi="Century" w:cs="Miriam" w:hint="eastAsia"/>
          <w:b/>
          <w:spacing w:val="0"/>
          <w:szCs w:val="24"/>
          <w:rtl/>
        </w:rPr>
        <w:t>פלוני</w:t>
      </w:r>
      <w:r w:rsidRPr="0093178D">
        <w:rPr>
          <w:rFonts w:ascii="Century" w:hAnsi="Century" w:cs="Miriam"/>
          <w:b/>
          <w:spacing w:val="0"/>
          <w:szCs w:val="24"/>
          <w:rtl/>
        </w:rPr>
        <w:t xml:space="preserve"> </w:t>
      </w:r>
      <w:r w:rsidRPr="0093178D">
        <w:rPr>
          <w:rFonts w:ascii="Century" w:hAnsi="Century" w:cs="Miriam" w:hint="eastAsia"/>
          <w:b/>
          <w:spacing w:val="0"/>
          <w:szCs w:val="24"/>
          <w:rtl/>
        </w:rPr>
        <w:t>נ</w:t>
      </w:r>
      <w:r w:rsidRPr="0093178D">
        <w:rPr>
          <w:rFonts w:ascii="Century" w:hAnsi="Century" w:cs="Miriam"/>
          <w:b/>
          <w:spacing w:val="0"/>
          <w:szCs w:val="24"/>
          <w:rtl/>
        </w:rPr>
        <w:t xml:space="preserve">' </w:t>
      </w:r>
      <w:r w:rsidRPr="0093178D">
        <w:rPr>
          <w:rFonts w:ascii="Century" w:hAnsi="Century" w:cs="Miriam" w:hint="eastAsia"/>
          <w:b/>
          <w:spacing w:val="0"/>
          <w:szCs w:val="24"/>
          <w:rtl/>
        </w:rPr>
        <w:t>מדינת</w:t>
      </w:r>
      <w:r w:rsidRPr="0093178D">
        <w:rPr>
          <w:rFonts w:ascii="Century" w:hAnsi="Century" w:cs="Miriam"/>
          <w:b/>
          <w:spacing w:val="0"/>
          <w:szCs w:val="24"/>
          <w:rtl/>
        </w:rPr>
        <w:t xml:space="preserve"> </w:t>
      </w:r>
      <w:r w:rsidRPr="0093178D">
        <w:rPr>
          <w:rFonts w:ascii="Century" w:hAnsi="Century" w:cs="Miriam" w:hint="eastAsia"/>
          <w:b/>
          <w:spacing w:val="0"/>
          <w:szCs w:val="24"/>
          <w:rtl/>
        </w:rPr>
        <w:t>ישראל</w:t>
      </w:r>
      <w:r w:rsidRPr="00860359">
        <w:rPr>
          <w:rtl/>
        </w:rPr>
        <w:t xml:space="preserve">, </w:t>
      </w:r>
      <w:r w:rsidRPr="00860359">
        <w:rPr>
          <w:rFonts w:hint="eastAsia"/>
          <w:rtl/>
        </w:rPr>
        <w:t>פסקה</w:t>
      </w:r>
      <w:r w:rsidRPr="00860359">
        <w:rPr>
          <w:rtl/>
        </w:rPr>
        <w:t xml:space="preserve"> 2 </w:t>
      </w:r>
      <w:r w:rsidRPr="00860359">
        <w:rPr>
          <w:rFonts w:hint="eastAsia"/>
          <w:rtl/>
        </w:rPr>
        <w:t>לפסק</w:t>
      </w:r>
      <w:r w:rsidRPr="00860359">
        <w:rPr>
          <w:rtl/>
        </w:rPr>
        <w:t xml:space="preserve"> </w:t>
      </w:r>
      <w:r w:rsidRPr="00860359">
        <w:rPr>
          <w:rFonts w:hint="eastAsia"/>
          <w:rtl/>
        </w:rPr>
        <w:t>דינו</w:t>
      </w:r>
      <w:r w:rsidRPr="00860359">
        <w:rPr>
          <w:rtl/>
        </w:rPr>
        <w:t xml:space="preserve"> </w:t>
      </w:r>
      <w:r w:rsidRPr="00860359">
        <w:rPr>
          <w:rFonts w:hint="eastAsia"/>
          <w:rtl/>
        </w:rPr>
        <w:t>של</w:t>
      </w:r>
      <w:r w:rsidRPr="00860359">
        <w:rPr>
          <w:rtl/>
        </w:rPr>
        <w:t xml:space="preserve"> </w:t>
      </w:r>
      <w:r w:rsidRPr="00860359">
        <w:rPr>
          <w:rFonts w:hint="eastAsia"/>
          <w:rtl/>
        </w:rPr>
        <w:lastRenderedPageBreak/>
        <w:t>השופט</w:t>
      </w:r>
      <w:r w:rsidRPr="00860359">
        <w:rPr>
          <w:rtl/>
        </w:rPr>
        <w:t xml:space="preserve"> </w:t>
      </w:r>
      <w:r w:rsidRPr="0093178D">
        <w:rPr>
          <w:rFonts w:ascii="Century" w:hAnsi="Century" w:cs="Miriam" w:hint="eastAsia"/>
          <w:b/>
          <w:spacing w:val="0"/>
          <w:szCs w:val="24"/>
          <w:rtl/>
        </w:rPr>
        <w:t>י</w:t>
      </w:r>
      <w:r w:rsidRPr="0093178D">
        <w:rPr>
          <w:rFonts w:ascii="Century" w:hAnsi="Century" w:cs="Miriam"/>
          <w:b/>
          <w:spacing w:val="0"/>
          <w:szCs w:val="24"/>
          <w:rtl/>
        </w:rPr>
        <w:t xml:space="preserve">' </w:t>
      </w:r>
      <w:r w:rsidRPr="0093178D">
        <w:rPr>
          <w:rFonts w:ascii="Century" w:hAnsi="Century" w:cs="Miriam" w:hint="eastAsia"/>
          <w:b/>
          <w:spacing w:val="0"/>
          <w:szCs w:val="24"/>
          <w:rtl/>
        </w:rPr>
        <w:t>עמית</w:t>
      </w:r>
      <w:r w:rsidRPr="00622C44">
        <w:rPr>
          <w:rtl/>
        </w:rPr>
        <w:t xml:space="preserve"> </w:t>
      </w:r>
      <w:r w:rsidRPr="00860359">
        <w:rPr>
          <w:rtl/>
        </w:rPr>
        <w:t>(3.9.2012)</w:t>
      </w:r>
      <w:r>
        <w:rPr>
          <w:rFonts w:hint="cs"/>
          <w:rtl/>
        </w:rPr>
        <w:t>;</w:t>
      </w:r>
      <w:r w:rsidRPr="00860359">
        <w:rPr>
          <w:rFonts w:hint="eastAsia"/>
          <w:rtl/>
        </w:rPr>
        <w:t xml:space="preserve"> בג</w:t>
      </w:r>
      <w:r w:rsidRPr="00860359">
        <w:rPr>
          <w:rtl/>
        </w:rPr>
        <w:t>"</w:t>
      </w:r>
      <w:r w:rsidRPr="00860359">
        <w:rPr>
          <w:rFonts w:hint="eastAsia"/>
          <w:rtl/>
        </w:rPr>
        <w:t>ץ</w:t>
      </w:r>
      <w:r w:rsidRPr="00860359">
        <w:rPr>
          <w:rtl/>
        </w:rPr>
        <w:t xml:space="preserve"> 1347/18 </w:t>
      </w:r>
      <w:r w:rsidRPr="0093178D">
        <w:rPr>
          <w:rFonts w:ascii="Century" w:hAnsi="Century" w:cs="Miriam" w:hint="eastAsia"/>
          <w:b/>
          <w:spacing w:val="0"/>
          <w:szCs w:val="24"/>
          <w:rtl/>
        </w:rPr>
        <w:t>פלונית</w:t>
      </w:r>
      <w:r w:rsidRPr="0093178D">
        <w:rPr>
          <w:rFonts w:ascii="Century" w:hAnsi="Century" w:cs="Miriam"/>
          <w:b/>
          <w:spacing w:val="0"/>
          <w:szCs w:val="24"/>
          <w:rtl/>
        </w:rPr>
        <w:t xml:space="preserve"> </w:t>
      </w:r>
      <w:r w:rsidRPr="0093178D">
        <w:rPr>
          <w:rFonts w:ascii="Century" w:hAnsi="Century" w:cs="Miriam" w:hint="eastAsia"/>
          <w:b/>
          <w:spacing w:val="0"/>
          <w:szCs w:val="24"/>
          <w:rtl/>
        </w:rPr>
        <w:t>נ</w:t>
      </w:r>
      <w:r w:rsidRPr="0093178D">
        <w:rPr>
          <w:rFonts w:ascii="Century" w:hAnsi="Century" w:cs="Miriam"/>
          <w:b/>
          <w:spacing w:val="0"/>
          <w:szCs w:val="24"/>
          <w:rtl/>
        </w:rPr>
        <w:t xml:space="preserve">' </w:t>
      </w:r>
      <w:r w:rsidRPr="0093178D">
        <w:rPr>
          <w:rFonts w:ascii="Century" w:hAnsi="Century" w:cs="Miriam" w:hint="eastAsia"/>
          <w:b/>
          <w:spacing w:val="0"/>
          <w:szCs w:val="24"/>
          <w:rtl/>
        </w:rPr>
        <w:t>בית</w:t>
      </w:r>
      <w:r w:rsidRPr="0093178D">
        <w:rPr>
          <w:rFonts w:ascii="Century" w:hAnsi="Century" w:cs="Miriam"/>
          <w:b/>
          <w:spacing w:val="0"/>
          <w:szCs w:val="24"/>
          <w:rtl/>
        </w:rPr>
        <w:t xml:space="preserve"> </w:t>
      </w:r>
      <w:r w:rsidRPr="0093178D">
        <w:rPr>
          <w:rFonts w:ascii="Century" w:hAnsi="Century" w:cs="Miriam" w:hint="eastAsia"/>
          <w:b/>
          <w:spacing w:val="0"/>
          <w:szCs w:val="24"/>
          <w:rtl/>
        </w:rPr>
        <w:t>הדין</w:t>
      </w:r>
      <w:r w:rsidRPr="0093178D">
        <w:rPr>
          <w:rFonts w:ascii="Century" w:hAnsi="Century" w:cs="Miriam"/>
          <w:b/>
          <w:spacing w:val="0"/>
          <w:szCs w:val="24"/>
          <w:rtl/>
        </w:rPr>
        <w:t xml:space="preserve"> </w:t>
      </w:r>
      <w:r w:rsidRPr="0093178D">
        <w:rPr>
          <w:rFonts w:ascii="Century" w:hAnsi="Century" w:cs="Miriam" w:hint="eastAsia"/>
          <w:b/>
          <w:spacing w:val="0"/>
          <w:szCs w:val="24"/>
          <w:rtl/>
        </w:rPr>
        <w:t>הארצי</w:t>
      </w:r>
      <w:r w:rsidRPr="0093178D">
        <w:rPr>
          <w:rFonts w:ascii="Century" w:hAnsi="Century" w:cs="Miriam"/>
          <w:b/>
          <w:spacing w:val="0"/>
          <w:szCs w:val="24"/>
          <w:rtl/>
        </w:rPr>
        <w:t xml:space="preserve"> </w:t>
      </w:r>
      <w:r w:rsidRPr="0093178D">
        <w:rPr>
          <w:rFonts w:ascii="Century" w:hAnsi="Century" w:cs="Miriam" w:hint="eastAsia"/>
          <w:b/>
          <w:spacing w:val="0"/>
          <w:szCs w:val="24"/>
          <w:rtl/>
        </w:rPr>
        <w:t>לעבודה</w:t>
      </w:r>
      <w:r w:rsidRPr="00860359">
        <w:rPr>
          <w:rtl/>
        </w:rPr>
        <w:t xml:space="preserve">, </w:t>
      </w:r>
      <w:r w:rsidRPr="00860359">
        <w:rPr>
          <w:rFonts w:hint="eastAsia"/>
          <w:rtl/>
        </w:rPr>
        <w:t>פסקה</w:t>
      </w:r>
      <w:r w:rsidRPr="00860359">
        <w:rPr>
          <w:rtl/>
        </w:rPr>
        <w:t xml:space="preserve"> 19 </w:t>
      </w:r>
      <w:r w:rsidRPr="00860359">
        <w:rPr>
          <w:rFonts w:hint="eastAsia"/>
          <w:rtl/>
        </w:rPr>
        <w:t>לפסק</w:t>
      </w:r>
      <w:r w:rsidRPr="00860359">
        <w:rPr>
          <w:rtl/>
        </w:rPr>
        <w:t xml:space="preserve"> </w:t>
      </w:r>
      <w:r w:rsidRPr="00860359">
        <w:rPr>
          <w:rFonts w:hint="eastAsia"/>
          <w:rtl/>
        </w:rPr>
        <w:t>דינו</w:t>
      </w:r>
      <w:r w:rsidRPr="00860359">
        <w:rPr>
          <w:rtl/>
        </w:rPr>
        <w:t xml:space="preserve"> </w:t>
      </w:r>
      <w:r w:rsidRPr="00860359">
        <w:rPr>
          <w:rFonts w:hint="eastAsia"/>
          <w:rtl/>
        </w:rPr>
        <w:t>של</w:t>
      </w:r>
      <w:r w:rsidRPr="00860359">
        <w:rPr>
          <w:rtl/>
        </w:rPr>
        <w:t xml:space="preserve"> </w:t>
      </w:r>
      <w:r w:rsidRPr="00860359">
        <w:rPr>
          <w:rFonts w:hint="eastAsia"/>
          <w:rtl/>
        </w:rPr>
        <w:t>השופט</w:t>
      </w:r>
      <w:r w:rsidRPr="00860359">
        <w:rPr>
          <w:rtl/>
        </w:rPr>
        <w:t xml:space="preserve"> </w:t>
      </w:r>
      <w:r w:rsidRPr="0093178D">
        <w:rPr>
          <w:rFonts w:ascii="Century" w:hAnsi="Century" w:cs="Miriam" w:hint="eastAsia"/>
          <w:b/>
          <w:spacing w:val="0"/>
          <w:szCs w:val="24"/>
          <w:rtl/>
        </w:rPr>
        <w:t>עמית</w:t>
      </w:r>
      <w:r w:rsidRPr="00622C44">
        <w:rPr>
          <w:rtl/>
        </w:rPr>
        <w:t xml:space="preserve"> </w:t>
      </w:r>
      <w:r w:rsidRPr="00860359">
        <w:rPr>
          <w:rtl/>
        </w:rPr>
        <w:t>(23.7.2019)</w:t>
      </w:r>
      <w:r>
        <w:rPr>
          <w:rFonts w:hint="cs"/>
          <w:rtl/>
        </w:rPr>
        <w:t xml:space="preserve"> (להלן: </w:t>
      </w:r>
      <w:r w:rsidRPr="007D1565">
        <w:rPr>
          <w:rFonts w:cs="Miriam" w:hint="eastAsia"/>
          <w:sz w:val="24"/>
          <w:szCs w:val="24"/>
          <w:rtl/>
        </w:rPr>
        <w:t>בג</w:t>
      </w:r>
      <w:r w:rsidRPr="007D1565">
        <w:rPr>
          <w:rFonts w:cs="Miriam"/>
          <w:sz w:val="24"/>
          <w:szCs w:val="24"/>
          <w:rtl/>
        </w:rPr>
        <w:t>"ץ 1347/18</w:t>
      </w:r>
      <w:r>
        <w:rPr>
          <w:rFonts w:hint="cs"/>
          <w:rtl/>
        </w:rPr>
        <w:t xml:space="preserve">). להרחבה, ראו: גבריאל הלוי </w:t>
      </w:r>
      <w:r w:rsidRPr="006B0B9C">
        <w:rPr>
          <w:rFonts w:ascii="Century" w:hAnsi="Century" w:cs="Miriam" w:hint="eastAsia"/>
          <w:b/>
          <w:spacing w:val="0"/>
          <w:szCs w:val="24"/>
          <w:rtl/>
        </w:rPr>
        <w:t>תורת</w:t>
      </w:r>
      <w:r w:rsidRPr="006B0B9C">
        <w:rPr>
          <w:rFonts w:ascii="Century" w:hAnsi="Century" w:cs="Miriam"/>
          <w:b/>
          <w:spacing w:val="0"/>
          <w:szCs w:val="24"/>
          <w:rtl/>
        </w:rPr>
        <w:t xml:space="preserve"> דיני הראיות – כרך ד</w:t>
      </w:r>
      <w:r>
        <w:rPr>
          <w:rFonts w:hint="cs"/>
          <w:rtl/>
        </w:rPr>
        <w:t xml:space="preserve"> 343-339 (2013) (להלן: </w:t>
      </w:r>
      <w:r w:rsidRPr="006B0B9C">
        <w:rPr>
          <w:rFonts w:ascii="Century" w:hAnsi="Century" w:cs="Miriam" w:hint="eastAsia"/>
          <w:b/>
          <w:spacing w:val="0"/>
          <w:szCs w:val="24"/>
          <w:rtl/>
        </w:rPr>
        <w:t>הלוי</w:t>
      </w:r>
      <w:r>
        <w:rPr>
          <w:rFonts w:hint="cs"/>
          <w:rtl/>
        </w:rPr>
        <w:t xml:space="preserve">); יצחק עמית </w:t>
      </w:r>
      <w:r w:rsidRPr="0093178D">
        <w:rPr>
          <w:rFonts w:ascii="Century" w:hAnsi="Century" w:cs="Miriam" w:hint="eastAsia"/>
          <w:b/>
          <w:spacing w:val="0"/>
          <w:szCs w:val="24"/>
          <w:rtl/>
        </w:rPr>
        <w:t>חסיונות</w:t>
      </w:r>
      <w:r w:rsidRPr="0093178D">
        <w:rPr>
          <w:rFonts w:ascii="Century" w:hAnsi="Century" w:cs="Miriam"/>
          <w:b/>
          <w:spacing w:val="0"/>
          <w:szCs w:val="24"/>
          <w:rtl/>
        </w:rPr>
        <w:t xml:space="preserve"> ואינטרסים מוגנים – הליכי גילוי במשפט האז</w:t>
      </w:r>
      <w:r w:rsidRPr="0093178D">
        <w:rPr>
          <w:rFonts w:ascii="Century" w:hAnsi="Century" w:cs="Miriam" w:hint="eastAsia"/>
          <w:b/>
          <w:spacing w:val="0"/>
          <w:szCs w:val="24"/>
          <w:rtl/>
        </w:rPr>
        <w:t>רחי</w:t>
      </w:r>
      <w:r w:rsidRPr="0093178D">
        <w:rPr>
          <w:rFonts w:ascii="Century" w:hAnsi="Century" w:cs="Miriam"/>
          <w:b/>
          <w:spacing w:val="0"/>
          <w:szCs w:val="24"/>
          <w:rtl/>
        </w:rPr>
        <w:t xml:space="preserve"> </w:t>
      </w:r>
      <w:r w:rsidRPr="0093178D">
        <w:rPr>
          <w:rFonts w:ascii="Century" w:hAnsi="Century" w:cs="Miriam" w:hint="eastAsia"/>
          <w:b/>
          <w:spacing w:val="0"/>
          <w:szCs w:val="24"/>
          <w:rtl/>
        </w:rPr>
        <w:t>והפלילי</w:t>
      </w:r>
      <w:r>
        <w:rPr>
          <w:rFonts w:hint="cs"/>
          <w:rtl/>
        </w:rPr>
        <w:t xml:space="preserve">, </w:t>
      </w:r>
      <w:r w:rsidR="00C237FD">
        <w:rPr>
          <w:rFonts w:hint="cs"/>
          <w:rtl/>
        </w:rPr>
        <w:t>637-613</w:t>
      </w:r>
      <w:r>
        <w:rPr>
          <w:rFonts w:hint="cs"/>
          <w:rtl/>
        </w:rPr>
        <w:t xml:space="preserve"> (עתיד להתפרסם בשנת 2021)). במובן זה, כרסום בחיסיון האמור עלול להוביל לפגיעה באיכות הטיפול ואף לחשש שמא המטופל כלל לא יאות לפנות לקבלת טיפול (ראו גם: </w:t>
      </w:r>
      <w:r w:rsidRPr="00595C25">
        <w:rPr>
          <w:rFonts w:hint="eastAsia"/>
          <w:rtl/>
        </w:rPr>
        <w:t>יורם</w:t>
      </w:r>
      <w:r w:rsidRPr="00595C25">
        <w:rPr>
          <w:rtl/>
        </w:rPr>
        <w:t xml:space="preserve"> </w:t>
      </w:r>
      <w:r w:rsidRPr="00595C25">
        <w:rPr>
          <w:rFonts w:hint="eastAsia"/>
          <w:rtl/>
        </w:rPr>
        <w:t>צדיק</w:t>
      </w:r>
      <w:r w:rsidRPr="00595C25">
        <w:rPr>
          <w:rtl/>
        </w:rPr>
        <w:t xml:space="preserve"> "</w:t>
      </w:r>
      <w:r w:rsidRPr="00595C25">
        <w:rPr>
          <w:rFonts w:hint="eastAsia"/>
          <w:rtl/>
        </w:rPr>
        <w:t>פסיכותרפי</w:t>
      </w:r>
      <w:r>
        <w:rPr>
          <w:rFonts w:hint="cs"/>
          <w:rtl/>
        </w:rPr>
        <w:t>סטי</w:t>
      </w:r>
      <w:r w:rsidRPr="00595C25">
        <w:rPr>
          <w:rFonts w:hint="eastAsia"/>
          <w:rtl/>
        </w:rPr>
        <w:t>ם</w:t>
      </w:r>
      <w:r w:rsidRPr="00595C25">
        <w:rPr>
          <w:rtl/>
        </w:rPr>
        <w:t xml:space="preserve"> </w:t>
      </w:r>
      <w:r w:rsidRPr="00595C25">
        <w:rPr>
          <w:rFonts w:hint="eastAsia"/>
          <w:rtl/>
        </w:rPr>
        <w:t>מול</w:t>
      </w:r>
      <w:r w:rsidRPr="00595C25">
        <w:rPr>
          <w:rtl/>
        </w:rPr>
        <w:t xml:space="preserve"> </w:t>
      </w:r>
      <w:r w:rsidRPr="00595C25">
        <w:rPr>
          <w:rFonts w:hint="eastAsia"/>
          <w:rtl/>
        </w:rPr>
        <w:t>חובת</w:t>
      </w:r>
      <w:r w:rsidRPr="00595C25">
        <w:rPr>
          <w:rtl/>
        </w:rPr>
        <w:t xml:space="preserve"> </w:t>
      </w:r>
      <w:r w:rsidRPr="00595C25">
        <w:rPr>
          <w:rFonts w:hint="eastAsia"/>
          <w:rtl/>
        </w:rPr>
        <w:t>הדיווח</w:t>
      </w:r>
      <w:r w:rsidRPr="00595C25">
        <w:rPr>
          <w:rtl/>
        </w:rPr>
        <w:t xml:space="preserve">" </w:t>
      </w:r>
      <w:r w:rsidRPr="008415ED">
        <w:rPr>
          <w:rFonts w:ascii="Century" w:hAnsi="Century" w:cs="Miriam" w:hint="eastAsia"/>
          <w:b/>
          <w:spacing w:val="0"/>
          <w:szCs w:val="24"/>
          <w:rtl/>
        </w:rPr>
        <w:t>רפואה</w:t>
      </w:r>
      <w:r w:rsidRPr="008415ED">
        <w:rPr>
          <w:rFonts w:ascii="Century" w:hAnsi="Century" w:cs="Miriam"/>
          <w:b/>
          <w:spacing w:val="0"/>
          <w:szCs w:val="24"/>
          <w:rtl/>
        </w:rPr>
        <w:t xml:space="preserve"> </w:t>
      </w:r>
      <w:r w:rsidRPr="008415ED">
        <w:rPr>
          <w:rFonts w:ascii="Century" w:hAnsi="Century" w:cs="Miriam" w:hint="eastAsia"/>
          <w:b/>
          <w:spacing w:val="0"/>
          <w:szCs w:val="24"/>
          <w:rtl/>
        </w:rPr>
        <w:t>ומשפט</w:t>
      </w:r>
      <w:r w:rsidRPr="00595C25">
        <w:rPr>
          <w:rtl/>
        </w:rPr>
        <w:t xml:space="preserve"> 27</w:t>
      </w:r>
      <w:r>
        <w:rPr>
          <w:rFonts w:hint="cs"/>
          <w:rtl/>
        </w:rPr>
        <w:t xml:space="preserve"> 145</w:t>
      </w:r>
      <w:r w:rsidRPr="00595C25">
        <w:rPr>
          <w:rtl/>
        </w:rPr>
        <w:t xml:space="preserve"> (2002)</w:t>
      </w:r>
      <w:r>
        <w:rPr>
          <w:rFonts w:hint="cs"/>
          <w:rtl/>
        </w:rPr>
        <w:t xml:space="preserve">). להשלמת הדברים יש לציין כי </w:t>
      </w:r>
      <w:r w:rsidR="000F30DA">
        <w:rPr>
          <w:rFonts w:hint="cs"/>
          <w:rtl/>
        </w:rPr>
        <w:t>על-</w:t>
      </w:r>
      <w:r>
        <w:rPr>
          <w:rFonts w:hint="cs"/>
          <w:rtl/>
        </w:rPr>
        <w:t xml:space="preserve">פי סעיף 52 לפקודה, החיסיון האמור חל הן ביחס למסירת ראיות בפני ערכאות שיפוטיות והן ביחס למסירתן בשלב החקירה בפני רשות, גוף או אדם המוסמכים </w:t>
      </w:r>
      <w:r w:rsidR="000F30DA">
        <w:rPr>
          <w:rFonts w:hint="cs"/>
          <w:rtl/>
        </w:rPr>
        <w:t>על-</w:t>
      </w:r>
      <w:r>
        <w:rPr>
          <w:rFonts w:hint="cs"/>
          <w:rtl/>
        </w:rPr>
        <w:t>פי דין לגבות ראיות.</w:t>
      </w:r>
    </w:p>
    <w:p w14:paraId="2126D4ED" w14:textId="77777777" w:rsidR="006A687A" w:rsidRDefault="006A687A" w:rsidP="006A687A">
      <w:pPr>
        <w:pStyle w:val="Ruller41"/>
        <w:rPr>
          <w:rtl/>
        </w:rPr>
      </w:pPr>
    </w:p>
    <w:p w14:paraId="69C34610" w14:textId="14BF1EC4" w:rsidR="006A687A" w:rsidRDefault="006A687A" w:rsidP="006A687A">
      <w:pPr>
        <w:pStyle w:val="Ruller41"/>
        <w:rPr>
          <w:rtl/>
        </w:rPr>
      </w:pPr>
      <w:r>
        <w:rPr>
          <w:rFonts w:hint="cs"/>
          <w:rtl/>
        </w:rPr>
        <w:t>5.</w:t>
      </w:r>
      <w:r>
        <w:rPr>
          <w:rFonts w:hint="cs"/>
          <w:rtl/>
        </w:rPr>
        <w:tab/>
        <w:t>חרף חשיבותן הרבה של התכליות ש</w:t>
      </w:r>
      <w:r w:rsidR="00E46046">
        <w:rPr>
          <w:rFonts w:hint="cs"/>
          <w:rtl/>
        </w:rPr>
        <w:t>אותן נועד החיסיון לשרת הוא הוכר</w:t>
      </w:r>
      <w:r>
        <w:rPr>
          <w:rFonts w:hint="cs"/>
          <w:rtl/>
        </w:rPr>
        <w:t xml:space="preserve"> כחיסיון יחסי, שעשוי להידחות לעתים מפני אינטרסים כבדי משקל אחרים. זאת, בשונה מהחסיונות המוחלטים, כגון החיסיון הקיים בהתקשרות שבין עורך דין ללקוח (ראו סעיף 48 לפקודה). על כן, על-פי הסיפא לסעיף 50א(א) לפקודה, ניתן להתיר גילוי ראיה החוסה תחת החיסיון המקצועי של העובד הסוציאלי בהתאם לנוסחת האיזון שנקבעה בו </w:t>
      </w:r>
      <w:r>
        <w:rPr>
          <w:rtl/>
        </w:rPr>
        <w:t>–</w:t>
      </w:r>
      <w:r>
        <w:rPr>
          <w:rFonts w:hint="cs"/>
          <w:rtl/>
        </w:rPr>
        <w:t xml:space="preserve"> בנסיבות שבהן מצא בית המשפט כי הצורך לגלותה לשם עשיית צדק עולה על העניין שיש באי-גילויה (להרחבה, ראו: </w:t>
      </w:r>
      <w:r w:rsidRPr="006B0B9C">
        <w:rPr>
          <w:rFonts w:ascii="Century" w:hAnsi="Century" w:cs="Miriam" w:hint="eastAsia"/>
          <w:b/>
          <w:spacing w:val="0"/>
          <w:szCs w:val="24"/>
          <w:rtl/>
        </w:rPr>
        <w:t>הלוי</w:t>
      </w:r>
      <w:r>
        <w:rPr>
          <w:rFonts w:hint="cs"/>
          <w:rtl/>
        </w:rPr>
        <w:t xml:space="preserve">, בעמ' 362-359). בהקשר זה, הובהר לא אחת כי הסרת חיסיון של גורמים טיפוליים תעשה בזהירות, ובהתאם לנסיבות העניין (ראו והשוו: </w:t>
      </w:r>
      <w:proofErr w:type="spellStart"/>
      <w:r w:rsidRPr="002C3DF4">
        <w:rPr>
          <w:rFonts w:hint="eastAsia"/>
          <w:rtl/>
        </w:rPr>
        <w:t>בש</w:t>
      </w:r>
      <w:r w:rsidRPr="002C3DF4">
        <w:rPr>
          <w:rtl/>
        </w:rPr>
        <w:t>"</w:t>
      </w:r>
      <w:r w:rsidRPr="002C3DF4">
        <w:rPr>
          <w:rFonts w:hint="eastAsia"/>
          <w:rtl/>
        </w:rPr>
        <w:t>פ</w:t>
      </w:r>
      <w:proofErr w:type="spellEnd"/>
      <w:r w:rsidRPr="002C3DF4">
        <w:rPr>
          <w:rtl/>
        </w:rPr>
        <w:t xml:space="preserve"> 9081/12 </w:t>
      </w:r>
      <w:r w:rsidRPr="0093178D">
        <w:rPr>
          <w:rFonts w:ascii="Century" w:hAnsi="Century" w:cs="Miriam" w:hint="eastAsia"/>
          <w:b/>
          <w:spacing w:val="0"/>
          <w:szCs w:val="24"/>
          <w:rtl/>
        </w:rPr>
        <w:t>פלוני</w:t>
      </w:r>
      <w:r w:rsidRPr="0093178D">
        <w:rPr>
          <w:rFonts w:ascii="Century" w:hAnsi="Century" w:cs="Miriam"/>
          <w:b/>
          <w:spacing w:val="0"/>
          <w:szCs w:val="24"/>
          <w:rtl/>
        </w:rPr>
        <w:t xml:space="preserve"> </w:t>
      </w:r>
      <w:r w:rsidRPr="0093178D">
        <w:rPr>
          <w:rFonts w:ascii="Century" w:hAnsi="Century" w:cs="Miriam" w:hint="eastAsia"/>
          <w:b/>
          <w:spacing w:val="0"/>
          <w:szCs w:val="24"/>
          <w:rtl/>
        </w:rPr>
        <w:t>נ</w:t>
      </w:r>
      <w:r w:rsidRPr="0093178D">
        <w:rPr>
          <w:rFonts w:ascii="Century" w:hAnsi="Century" w:cs="Miriam"/>
          <w:b/>
          <w:spacing w:val="0"/>
          <w:szCs w:val="24"/>
          <w:rtl/>
        </w:rPr>
        <w:t xml:space="preserve">' </w:t>
      </w:r>
      <w:r w:rsidRPr="0093178D">
        <w:rPr>
          <w:rFonts w:ascii="Century" w:hAnsi="Century" w:cs="Miriam" w:hint="eastAsia"/>
          <w:b/>
          <w:spacing w:val="0"/>
          <w:szCs w:val="24"/>
          <w:rtl/>
        </w:rPr>
        <w:t>מדינת</w:t>
      </w:r>
      <w:r w:rsidRPr="0093178D">
        <w:rPr>
          <w:rFonts w:ascii="Century" w:hAnsi="Century" w:cs="Miriam"/>
          <w:b/>
          <w:spacing w:val="0"/>
          <w:szCs w:val="24"/>
          <w:rtl/>
        </w:rPr>
        <w:t xml:space="preserve"> </w:t>
      </w:r>
      <w:r w:rsidRPr="0093178D">
        <w:rPr>
          <w:rFonts w:ascii="Century" w:hAnsi="Century" w:cs="Miriam" w:hint="eastAsia"/>
          <w:b/>
          <w:spacing w:val="0"/>
          <w:szCs w:val="24"/>
          <w:rtl/>
        </w:rPr>
        <w:t>ישראל</w:t>
      </w:r>
      <w:r w:rsidRPr="002C3DF4">
        <w:rPr>
          <w:rtl/>
        </w:rPr>
        <w:t xml:space="preserve">, </w:t>
      </w:r>
      <w:r w:rsidRPr="002C3DF4">
        <w:rPr>
          <w:rFonts w:hint="eastAsia"/>
          <w:rtl/>
        </w:rPr>
        <w:t>פסקה</w:t>
      </w:r>
      <w:r w:rsidRPr="002C3DF4">
        <w:rPr>
          <w:rtl/>
        </w:rPr>
        <w:t xml:space="preserve"> 8 (6.1.2013)</w:t>
      </w:r>
      <w:r>
        <w:rPr>
          <w:rFonts w:hint="cs"/>
          <w:rtl/>
        </w:rPr>
        <w:t xml:space="preserve">; </w:t>
      </w:r>
      <w:proofErr w:type="spellStart"/>
      <w:r w:rsidRPr="002C3DF4">
        <w:rPr>
          <w:rFonts w:hint="eastAsia"/>
          <w:rtl/>
        </w:rPr>
        <w:t>בש</w:t>
      </w:r>
      <w:r w:rsidRPr="002C3DF4">
        <w:rPr>
          <w:rtl/>
        </w:rPr>
        <w:t>"</w:t>
      </w:r>
      <w:r w:rsidRPr="002C3DF4">
        <w:rPr>
          <w:rFonts w:hint="eastAsia"/>
          <w:rtl/>
        </w:rPr>
        <w:t>פ</w:t>
      </w:r>
      <w:proofErr w:type="spellEnd"/>
      <w:r w:rsidRPr="002C3DF4">
        <w:rPr>
          <w:rtl/>
        </w:rPr>
        <w:t xml:space="preserve"> 8252/1</w:t>
      </w:r>
      <w:r>
        <w:rPr>
          <w:rFonts w:hint="cs"/>
          <w:rtl/>
        </w:rPr>
        <w:t>3</w:t>
      </w:r>
      <w:r w:rsidRPr="002C3DF4">
        <w:rPr>
          <w:rtl/>
        </w:rPr>
        <w:t xml:space="preserve"> </w:t>
      </w:r>
      <w:r w:rsidRPr="0093178D">
        <w:rPr>
          <w:rFonts w:ascii="Century" w:hAnsi="Century" w:cs="Miriam" w:hint="eastAsia"/>
          <w:b/>
          <w:spacing w:val="0"/>
          <w:szCs w:val="24"/>
          <w:rtl/>
        </w:rPr>
        <w:t>מדינת</w:t>
      </w:r>
      <w:r w:rsidRPr="0093178D">
        <w:rPr>
          <w:rFonts w:ascii="Century" w:hAnsi="Century" w:cs="Miriam"/>
          <w:b/>
          <w:spacing w:val="0"/>
          <w:szCs w:val="24"/>
          <w:rtl/>
        </w:rPr>
        <w:t xml:space="preserve"> </w:t>
      </w:r>
      <w:r w:rsidRPr="0093178D">
        <w:rPr>
          <w:rFonts w:ascii="Century" w:hAnsi="Century" w:cs="Miriam" w:hint="eastAsia"/>
          <w:b/>
          <w:spacing w:val="0"/>
          <w:szCs w:val="24"/>
          <w:rtl/>
        </w:rPr>
        <w:t>ישראל</w:t>
      </w:r>
      <w:r w:rsidRPr="0093178D">
        <w:rPr>
          <w:rFonts w:ascii="Century" w:hAnsi="Century" w:cs="Miriam"/>
          <w:b/>
          <w:spacing w:val="0"/>
          <w:szCs w:val="24"/>
          <w:rtl/>
        </w:rPr>
        <w:t xml:space="preserve"> </w:t>
      </w:r>
      <w:r w:rsidRPr="0093178D">
        <w:rPr>
          <w:rFonts w:ascii="Century" w:hAnsi="Century" w:cs="Miriam" w:hint="eastAsia"/>
          <w:b/>
          <w:spacing w:val="0"/>
          <w:szCs w:val="24"/>
          <w:rtl/>
        </w:rPr>
        <w:t>נ</w:t>
      </w:r>
      <w:r w:rsidRPr="0093178D">
        <w:rPr>
          <w:rFonts w:ascii="Century" w:hAnsi="Century" w:cs="Miriam"/>
          <w:b/>
          <w:spacing w:val="0"/>
          <w:szCs w:val="24"/>
          <w:rtl/>
        </w:rPr>
        <w:t xml:space="preserve">' </w:t>
      </w:r>
      <w:proofErr w:type="spellStart"/>
      <w:r w:rsidRPr="0093178D">
        <w:rPr>
          <w:rFonts w:ascii="Century" w:hAnsi="Century" w:cs="Miriam" w:hint="eastAsia"/>
          <w:b/>
          <w:spacing w:val="0"/>
          <w:szCs w:val="24"/>
          <w:rtl/>
        </w:rPr>
        <w:t>שיינר</w:t>
      </w:r>
      <w:proofErr w:type="spellEnd"/>
      <w:r w:rsidRPr="002C3DF4">
        <w:rPr>
          <w:rtl/>
        </w:rPr>
        <w:t xml:space="preserve">, </w:t>
      </w:r>
      <w:r w:rsidRPr="002C3DF4">
        <w:rPr>
          <w:rFonts w:hint="eastAsia"/>
          <w:rtl/>
        </w:rPr>
        <w:t>פ</w:t>
      </w:r>
      <w:r w:rsidRPr="002C3DF4">
        <w:rPr>
          <w:rtl/>
        </w:rPr>
        <w:t>"</w:t>
      </w:r>
      <w:r w:rsidRPr="002C3DF4">
        <w:rPr>
          <w:rFonts w:hint="eastAsia"/>
          <w:rtl/>
        </w:rPr>
        <w:t>ד</w:t>
      </w:r>
      <w:r w:rsidRPr="002C3DF4">
        <w:rPr>
          <w:rtl/>
        </w:rPr>
        <w:t xml:space="preserve"> </w:t>
      </w:r>
      <w:proofErr w:type="spellStart"/>
      <w:r w:rsidRPr="002C3DF4">
        <w:rPr>
          <w:rFonts w:hint="eastAsia"/>
          <w:rtl/>
        </w:rPr>
        <w:t>סו</w:t>
      </w:r>
      <w:proofErr w:type="spellEnd"/>
      <w:r w:rsidRPr="002C3DF4">
        <w:rPr>
          <w:rtl/>
        </w:rPr>
        <w:t>(3) 442, 478-477 (2014)</w:t>
      </w:r>
      <w:r>
        <w:rPr>
          <w:rFonts w:hint="cs"/>
          <w:rtl/>
        </w:rPr>
        <w:t xml:space="preserve">; </w:t>
      </w:r>
      <w:r w:rsidRPr="007D1565">
        <w:rPr>
          <w:rFonts w:cs="Miriam" w:hint="eastAsia"/>
          <w:sz w:val="24"/>
          <w:szCs w:val="24"/>
          <w:rtl/>
        </w:rPr>
        <w:t>בג</w:t>
      </w:r>
      <w:r w:rsidRPr="007D1565">
        <w:rPr>
          <w:rFonts w:cs="Miriam"/>
          <w:sz w:val="24"/>
          <w:szCs w:val="24"/>
          <w:rtl/>
        </w:rPr>
        <w:t>"ץ 1347/18</w:t>
      </w:r>
      <w:r>
        <w:rPr>
          <w:rFonts w:hint="cs"/>
          <w:rtl/>
        </w:rPr>
        <w:t xml:space="preserve">, בפסקה 11 לפסק דינו של השופט </w:t>
      </w:r>
      <w:r w:rsidRPr="0093178D">
        <w:rPr>
          <w:rFonts w:ascii="Century" w:hAnsi="Century" w:cs="Miriam" w:hint="eastAsia"/>
          <w:b/>
          <w:spacing w:val="0"/>
          <w:szCs w:val="24"/>
          <w:rtl/>
        </w:rPr>
        <w:t>עמית</w:t>
      </w:r>
      <w:r>
        <w:rPr>
          <w:rFonts w:hint="cs"/>
          <w:rtl/>
        </w:rPr>
        <w:t xml:space="preserve">). </w:t>
      </w:r>
    </w:p>
    <w:p w14:paraId="0363B5F9" w14:textId="77777777" w:rsidR="006A687A" w:rsidRDefault="006A687A" w:rsidP="006A687A">
      <w:pPr>
        <w:pStyle w:val="Ruller41"/>
        <w:rPr>
          <w:rtl/>
        </w:rPr>
      </w:pPr>
    </w:p>
    <w:p w14:paraId="2348C2FD" w14:textId="334DC8F8" w:rsidR="006A687A" w:rsidRDefault="006A687A" w:rsidP="00A54073">
      <w:pPr>
        <w:pStyle w:val="Ruller41"/>
        <w:rPr>
          <w:rtl/>
        </w:rPr>
      </w:pPr>
      <w:r>
        <w:rPr>
          <w:rFonts w:hint="cs"/>
          <w:rtl/>
        </w:rPr>
        <w:t>6.</w:t>
      </w:r>
      <w:r>
        <w:rPr>
          <w:rFonts w:hint="cs"/>
          <w:rtl/>
        </w:rPr>
        <w:tab/>
        <w:t xml:space="preserve">מלבד קיומו של החיסיון האמור (אשר חל כאמור ביחס להליכי חקירה ומשפט), ובנפרד ממנו, עובד סוציאלי כפוף גם לחובת סודיות מקצועית באשר למידע שהגיע לידיו במסגרת מילוי תפקידו. זאת, בהתאם לסעיף 8 לחוק העובדים הסוציאליים, וסעיף 9 לתקנות העובדים הסוציאליים (כללי אתיקה מקצועית), התשנ"ט-1999. בהקשר זה, ובקרבה </w:t>
      </w:r>
      <w:r w:rsidR="000F30DA">
        <w:rPr>
          <w:rFonts w:hint="cs"/>
          <w:rtl/>
        </w:rPr>
        <w:t>לענייננו</w:t>
      </w:r>
      <w:r>
        <w:rPr>
          <w:rFonts w:hint="cs"/>
          <w:rtl/>
        </w:rPr>
        <w:t>, יצוין כי לחובת הסודיות האמורה נקבעו מספר חריגים בדין. כך, סעיף 8(א)(4) לחוק העובדים הסוציאליים קובע כי חובה זו לא חלה במקרה שבו "</w:t>
      </w:r>
      <w:r w:rsidRPr="00F86147">
        <w:rPr>
          <w:rtl/>
        </w:rPr>
        <w:t>הגילוי דרוש לשם מניעת פגיעה באדם שעליו המידע או באדם אחר"</w:t>
      </w:r>
      <w:r>
        <w:rPr>
          <w:rFonts w:hint="cs"/>
          <w:rtl/>
        </w:rPr>
        <w:t>, וסעיף 8(א)(5) לו קובע חריג נוסף שחל במקרה שבו</w:t>
      </w:r>
      <w:r w:rsidRPr="00F86147">
        <w:rPr>
          <w:rFonts w:ascii="Century" w:hAnsi="Century"/>
          <w:rtl/>
        </w:rPr>
        <w:t xml:space="preserve"> "קיימת בחוק חובה או רשות לגילוי המידע או לאיסוף המידע"</w:t>
      </w:r>
      <w:r>
        <w:rPr>
          <w:rFonts w:hint="cs"/>
          <w:rtl/>
        </w:rPr>
        <w:t>.</w:t>
      </w:r>
    </w:p>
    <w:p w14:paraId="396D19DC" w14:textId="77777777" w:rsidR="006A687A" w:rsidRDefault="006A687A" w:rsidP="006A687A">
      <w:pPr>
        <w:pStyle w:val="Ruller41"/>
        <w:rPr>
          <w:rtl/>
        </w:rPr>
      </w:pPr>
    </w:p>
    <w:p w14:paraId="2985DE5F" w14:textId="2759E64A" w:rsidR="006A687A" w:rsidRDefault="006A687A" w:rsidP="00FE3EDC">
      <w:pPr>
        <w:pStyle w:val="Ruller41"/>
        <w:rPr>
          <w:rtl/>
        </w:rPr>
      </w:pPr>
      <w:r>
        <w:rPr>
          <w:rFonts w:hint="cs"/>
          <w:rtl/>
        </w:rPr>
        <w:t>7.</w:t>
      </w:r>
      <w:r>
        <w:rPr>
          <w:rFonts w:hint="cs"/>
          <w:rtl/>
        </w:rPr>
        <w:tab/>
        <w:t xml:space="preserve">לצד תחולתם של החיסיון וחובת הסודיות האמורים וכחריג להם נקבעה בחקיקה חובת דיווח שחלה על עובדים סוציאליים במצבים שבהם הגיע לידיהם מידע שעניינו </w:t>
      </w:r>
      <w:r>
        <w:rPr>
          <w:rFonts w:hint="cs"/>
          <w:rtl/>
        </w:rPr>
        <w:lastRenderedPageBreak/>
        <w:t xml:space="preserve">פגיעה בקטין או בחסר ישע. בהקשר זה יש להידרש לסעיף 368ד לחוק העונשין, התשל"ז-1977 (להלן: </w:t>
      </w:r>
      <w:r w:rsidRPr="00446F2B">
        <w:rPr>
          <w:rFonts w:ascii="Century" w:hAnsi="Century" w:cs="Miriam" w:hint="eastAsia"/>
          <w:b/>
          <w:spacing w:val="0"/>
          <w:szCs w:val="24"/>
          <w:rtl/>
        </w:rPr>
        <w:t>חוק</w:t>
      </w:r>
      <w:r w:rsidRPr="00446F2B">
        <w:rPr>
          <w:rFonts w:ascii="Century" w:hAnsi="Century" w:cs="Miriam"/>
          <w:b/>
          <w:spacing w:val="0"/>
          <w:szCs w:val="24"/>
          <w:rtl/>
        </w:rPr>
        <w:t xml:space="preserve"> </w:t>
      </w:r>
      <w:r w:rsidRPr="00446F2B">
        <w:rPr>
          <w:rFonts w:ascii="Century" w:hAnsi="Century" w:cs="Miriam" w:hint="eastAsia"/>
          <w:b/>
          <w:spacing w:val="0"/>
          <w:szCs w:val="24"/>
          <w:rtl/>
        </w:rPr>
        <w:t>העונשין</w:t>
      </w:r>
      <w:r>
        <w:rPr>
          <w:rFonts w:hint="cs"/>
          <w:rtl/>
        </w:rPr>
        <w:t xml:space="preserve">), שהוסף בו במסגרת </w:t>
      </w:r>
      <w:r w:rsidRPr="00BB7675">
        <w:rPr>
          <w:rFonts w:hint="eastAsia"/>
          <w:rtl/>
        </w:rPr>
        <w:t>חוק</w:t>
      </w:r>
      <w:r w:rsidRPr="00BB7675">
        <w:rPr>
          <w:rtl/>
        </w:rPr>
        <w:t xml:space="preserve"> </w:t>
      </w:r>
      <w:r w:rsidRPr="00BB7675">
        <w:rPr>
          <w:rFonts w:hint="eastAsia"/>
          <w:rtl/>
        </w:rPr>
        <w:t>העונשין</w:t>
      </w:r>
      <w:r w:rsidRPr="00BB7675">
        <w:rPr>
          <w:rtl/>
        </w:rPr>
        <w:t xml:space="preserve"> (</w:t>
      </w:r>
      <w:r>
        <w:rPr>
          <w:rFonts w:hint="cs"/>
          <w:rtl/>
        </w:rPr>
        <w:t xml:space="preserve">תיקון </w:t>
      </w:r>
      <w:r w:rsidRPr="00BB7675">
        <w:rPr>
          <w:rFonts w:hint="eastAsia"/>
          <w:rtl/>
        </w:rPr>
        <w:t>מס</w:t>
      </w:r>
      <w:r w:rsidRPr="00BB7675">
        <w:rPr>
          <w:rtl/>
        </w:rPr>
        <w:t xml:space="preserve">' 26), </w:t>
      </w:r>
      <w:r w:rsidRPr="00BB7675">
        <w:rPr>
          <w:rFonts w:hint="eastAsia"/>
          <w:rtl/>
        </w:rPr>
        <w:t>התש</w:t>
      </w:r>
      <w:r w:rsidRPr="00BB7675">
        <w:rPr>
          <w:rtl/>
        </w:rPr>
        <w:t>"</w:t>
      </w:r>
      <w:r w:rsidRPr="00BB7675">
        <w:rPr>
          <w:rFonts w:hint="eastAsia"/>
          <w:rtl/>
        </w:rPr>
        <w:t>ן</w:t>
      </w:r>
      <w:r w:rsidRPr="00BB7675">
        <w:rPr>
          <w:rtl/>
        </w:rPr>
        <w:t>-1989</w:t>
      </w:r>
      <w:r>
        <w:rPr>
          <w:rFonts w:hint="cs"/>
          <w:rtl/>
        </w:rPr>
        <w:t xml:space="preserve"> (להלן: </w:t>
      </w:r>
      <w:r w:rsidRPr="008415ED">
        <w:rPr>
          <w:rFonts w:ascii="Century" w:hAnsi="Century" w:cs="Miriam" w:hint="eastAsia"/>
          <w:b/>
          <w:spacing w:val="0"/>
          <w:szCs w:val="24"/>
          <w:rtl/>
        </w:rPr>
        <w:t>תיקון</w:t>
      </w:r>
      <w:r w:rsidRPr="008415ED">
        <w:rPr>
          <w:rFonts w:ascii="Century" w:hAnsi="Century" w:cs="Miriam"/>
          <w:b/>
          <w:spacing w:val="0"/>
          <w:szCs w:val="24"/>
          <w:rtl/>
        </w:rPr>
        <w:t xml:space="preserve"> </w:t>
      </w:r>
      <w:r w:rsidRPr="008415ED">
        <w:rPr>
          <w:rFonts w:ascii="Century" w:hAnsi="Century" w:cs="Miriam" w:hint="eastAsia"/>
          <w:b/>
          <w:spacing w:val="0"/>
          <w:szCs w:val="24"/>
          <w:rtl/>
        </w:rPr>
        <w:t>מס</w:t>
      </w:r>
      <w:r w:rsidRPr="008415ED">
        <w:rPr>
          <w:rFonts w:ascii="Century" w:hAnsi="Century" w:cs="Miriam"/>
          <w:b/>
          <w:spacing w:val="0"/>
          <w:szCs w:val="24"/>
          <w:rtl/>
        </w:rPr>
        <w:t>' 26</w:t>
      </w:r>
      <w:r>
        <w:rPr>
          <w:rFonts w:hint="cs"/>
          <w:rtl/>
        </w:rPr>
        <w:t xml:space="preserve">). כזרז לכך שימשה פרשת מותה של הילדה מורן </w:t>
      </w:r>
      <w:proofErr w:type="spellStart"/>
      <w:r>
        <w:rPr>
          <w:rFonts w:hint="cs"/>
          <w:rtl/>
        </w:rPr>
        <w:t>דנמיאס</w:t>
      </w:r>
      <w:proofErr w:type="spellEnd"/>
      <w:r>
        <w:rPr>
          <w:rFonts w:hint="cs"/>
          <w:rtl/>
        </w:rPr>
        <w:t xml:space="preserve"> ז"ל, שתיקון החוק זכור גם כיד לזכרה (ראו עוד: יצחק קדמן "</w:t>
      </w:r>
      <w:r w:rsidRPr="001A7C0C">
        <w:rPr>
          <w:rFonts w:hint="eastAsia"/>
          <w:rtl/>
        </w:rPr>
        <w:t>במותה</w:t>
      </w:r>
      <w:r w:rsidRPr="001A7C0C">
        <w:rPr>
          <w:rtl/>
        </w:rPr>
        <w:t xml:space="preserve"> </w:t>
      </w:r>
      <w:r w:rsidRPr="001A7C0C">
        <w:rPr>
          <w:rFonts w:hint="eastAsia"/>
          <w:rtl/>
        </w:rPr>
        <w:t>ציוותה</w:t>
      </w:r>
      <w:r w:rsidRPr="001A7C0C">
        <w:rPr>
          <w:rtl/>
        </w:rPr>
        <w:t xml:space="preserve"> </w:t>
      </w:r>
      <w:r w:rsidRPr="001A7C0C">
        <w:rPr>
          <w:rFonts w:hint="eastAsia"/>
          <w:rtl/>
        </w:rPr>
        <w:t>לילדים</w:t>
      </w:r>
      <w:r w:rsidRPr="001A7C0C">
        <w:rPr>
          <w:rtl/>
        </w:rPr>
        <w:t xml:space="preserve"> </w:t>
      </w:r>
      <w:r w:rsidRPr="001A7C0C">
        <w:rPr>
          <w:rFonts w:hint="eastAsia"/>
          <w:rtl/>
        </w:rPr>
        <w:t>רבים</w:t>
      </w:r>
      <w:r w:rsidRPr="001A7C0C">
        <w:rPr>
          <w:rtl/>
        </w:rPr>
        <w:t xml:space="preserve"> </w:t>
      </w:r>
      <w:r w:rsidRPr="001A7C0C">
        <w:rPr>
          <w:rFonts w:hint="eastAsia"/>
          <w:rtl/>
        </w:rPr>
        <w:t>את</w:t>
      </w:r>
      <w:r w:rsidRPr="001A7C0C">
        <w:rPr>
          <w:rtl/>
        </w:rPr>
        <w:t xml:space="preserve"> </w:t>
      </w:r>
      <w:r w:rsidRPr="001A7C0C">
        <w:rPr>
          <w:rFonts w:hint="eastAsia"/>
          <w:rtl/>
        </w:rPr>
        <w:t>החיים</w:t>
      </w:r>
      <w:r w:rsidRPr="001A7C0C">
        <w:rPr>
          <w:rtl/>
        </w:rPr>
        <w:t xml:space="preserve">: </w:t>
      </w:r>
      <w:r w:rsidRPr="001A7C0C">
        <w:rPr>
          <w:rFonts w:hint="eastAsia"/>
          <w:rtl/>
        </w:rPr>
        <w:t>חובת</w:t>
      </w:r>
      <w:r w:rsidRPr="001A7C0C">
        <w:rPr>
          <w:rtl/>
        </w:rPr>
        <w:t xml:space="preserve"> </w:t>
      </w:r>
      <w:r w:rsidRPr="001A7C0C">
        <w:rPr>
          <w:rFonts w:hint="eastAsia"/>
          <w:rtl/>
        </w:rPr>
        <w:t>הדיווח</w:t>
      </w:r>
      <w:r w:rsidRPr="001A7C0C">
        <w:rPr>
          <w:rtl/>
        </w:rPr>
        <w:t xml:space="preserve"> </w:t>
      </w:r>
      <w:r w:rsidRPr="001A7C0C">
        <w:rPr>
          <w:rFonts w:hint="eastAsia"/>
          <w:rtl/>
        </w:rPr>
        <w:t>על</w:t>
      </w:r>
      <w:r w:rsidRPr="001A7C0C">
        <w:rPr>
          <w:rtl/>
        </w:rPr>
        <w:t xml:space="preserve"> </w:t>
      </w:r>
      <w:r w:rsidRPr="001A7C0C">
        <w:rPr>
          <w:rFonts w:hint="eastAsia"/>
          <w:rtl/>
        </w:rPr>
        <w:t>עבירות</w:t>
      </w:r>
      <w:r w:rsidRPr="001A7C0C">
        <w:rPr>
          <w:rtl/>
        </w:rPr>
        <w:t xml:space="preserve"> </w:t>
      </w:r>
      <w:r w:rsidRPr="001A7C0C">
        <w:rPr>
          <w:rFonts w:hint="eastAsia"/>
          <w:rtl/>
        </w:rPr>
        <w:t>בילדים</w:t>
      </w:r>
      <w:r w:rsidR="00FE3EDC">
        <w:rPr>
          <w:rFonts w:hint="cs"/>
          <w:rtl/>
        </w:rPr>
        <w:t xml:space="preserve"> </w:t>
      </w:r>
      <w:r w:rsidR="00FE3EDC">
        <w:rPr>
          <w:rtl/>
        </w:rPr>
        <w:t>–</w:t>
      </w:r>
      <w:r w:rsidRPr="001A7C0C">
        <w:rPr>
          <w:rtl/>
        </w:rPr>
        <w:t xml:space="preserve"> </w:t>
      </w:r>
      <w:r w:rsidRPr="001A7C0C">
        <w:rPr>
          <w:rFonts w:hint="eastAsia"/>
          <w:rtl/>
        </w:rPr>
        <w:t>רקע</w:t>
      </w:r>
      <w:r w:rsidRPr="001A7C0C">
        <w:rPr>
          <w:rtl/>
        </w:rPr>
        <w:t xml:space="preserve">, </w:t>
      </w:r>
      <w:r w:rsidRPr="001A7C0C">
        <w:rPr>
          <w:rFonts w:hint="eastAsia"/>
          <w:rtl/>
        </w:rPr>
        <w:t>סקירה</w:t>
      </w:r>
      <w:r w:rsidRPr="001A7C0C">
        <w:rPr>
          <w:rtl/>
        </w:rPr>
        <w:t xml:space="preserve"> </w:t>
      </w:r>
      <w:r w:rsidRPr="001A7C0C">
        <w:rPr>
          <w:rFonts w:hint="eastAsia"/>
          <w:rtl/>
        </w:rPr>
        <w:t>ומהות</w:t>
      </w:r>
      <w:r>
        <w:rPr>
          <w:rFonts w:hint="cs"/>
          <w:rtl/>
        </w:rPr>
        <w:t>"</w:t>
      </w:r>
      <w:r w:rsidRPr="001A7C0C">
        <w:rPr>
          <w:rtl/>
        </w:rPr>
        <w:t xml:space="preserve"> </w:t>
      </w:r>
      <w:r w:rsidRPr="008415ED">
        <w:rPr>
          <w:rFonts w:ascii="Century" w:hAnsi="Century" w:cs="Miriam" w:hint="eastAsia"/>
          <w:b/>
          <w:spacing w:val="0"/>
          <w:szCs w:val="24"/>
          <w:rtl/>
        </w:rPr>
        <w:t>משפחה</w:t>
      </w:r>
      <w:r w:rsidRPr="008415ED">
        <w:rPr>
          <w:rFonts w:ascii="Century" w:hAnsi="Century" w:cs="Miriam"/>
          <w:b/>
          <w:spacing w:val="0"/>
          <w:szCs w:val="24"/>
          <w:rtl/>
        </w:rPr>
        <w:t xml:space="preserve"> </w:t>
      </w:r>
      <w:r w:rsidRPr="008415ED">
        <w:rPr>
          <w:rFonts w:ascii="Century" w:hAnsi="Century" w:cs="Miriam" w:hint="eastAsia"/>
          <w:b/>
          <w:spacing w:val="0"/>
          <w:szCs w:val="24"/>
          <w:rtl/>
        </w:rPr>
        <w:t>במשפט</w:t>
      </w:r>
      <w:r w:rsidRPr="001A7C0C">
        <w:rPr>
          <w:rtl/>
        </w:rPr>
        <w:t xml:space="preserve"> </w:t>
      </w:r>
      <w:r w:rsidRPr="001A7C0C">
        <w:rPr>
          <w:rFonts w:hint="eastAsia"/>
          <w:rtl/>
        </w:rPr>
        <w:t>ג</w:t>
      </w:r>
      <w:r w:rsidRPr="001A7C0C">
        <w:rPr>
          <w:rtl/>
        </w:rPr>
        <w:t>-</w:t>
      </w:r>
      <w:r w:rsidRPr="001A7C0C">
        <w:rPr>
          <w:rFonts w:hint="eastAsia"/>
          <w:rtl/>
        </w:rPr>
        <w:t>ד</w:t>
      </w:r>
      <w:r w:rsidRPr="001A7C0C">
        <w:rPr>
          <w:rtl/>
        </w:rPr>
        <w:t xml:space="preserve"> 337 (2010-2009)</w:t>
      </w:r>
      <w:r>
        <w:rPr>
          <w:rFonts w:hint="cs"/>
          <w:rtl/>
        </w:rPr>
        <w:t xml:space="preserve"> (להלן: </w:t>
      </w:r>
      <w:r w:rsidRPr="006B0B9C">
        <w:rPr>
          <w:rFonts w:ascii="Century" w:hAnsi="Century" w:cs="Miriam" w:hint="eastAsia"/>
          <w:b/>
          <w:spacing w:val="0"/>
          <w:szCs w:val="24"/>
          <w:rtl/>
        </w:rPr>
        <w:t>קדמן</w:t>
      </w:r>
      <w:r>
        <w:rPr>
          <w:rFonts w:hint="cs"/>
          <w:rtl/>
        </w:rPr>
        <w:t xml:space="preserve">)). הסעיף מונה מקרים </w:t>
      </w:r>
      <w:proofErr w:type="spellStart"/>
      <w:r>
        <w:rPr>
          <w:rFonts w:hint="cs"/>
          <w:rtl/>
        </w:rPr>
        <w:t>שבהתקיימם</w:t>
      </w:r>
      <w:proofErr w:type="spellEnd"/>
      <w:r>
        <w:rPr>
          <w:rFonts w:hint="cs"/>
          <w:rtl/>
        </w:rPr>
        <w:t xml:space="preserve"> מוטלת על העובד הסוציאלי, כמו גם על גורמי טיפול נוספים, חובת דיווח לרשויות </w:t>
      </w:r>
      <w:r>
        <w:rPr>
          <w:rtl/>
        </w:rPr>
        <w:t>–</w:t>
      </w:r>
      <w:r>
        <w:rPr>
          <w:rFonts w:hint="cs"/>
          <w:rtl/>
        </w:rPr>
        <w:t xml:space="preserve"> בנסיבות שבהן קיים יסוד סביר לחשוב כי נעברה עבירה בקטין או בחסר ישע. יוער כי סעיף זה החליף הסדר קודם ומצומצם יותר אשר חל בעבר על </w:t>
      </w:r>
      <w:r w:rsidR="005E1A05">
        <w:rPr>
          <w:rFonts w:hint="cs"/>
          <w:rtl/>
        </w:rPr>
        <w:t xml:space="preserve">בעלי </w:t>
      </w:r>
      <w:r>
        <w:rPr>
          <w:rFonts w:hint="cs"/>
          <w:rtl/>
        </w:rPr>
        <w:t xml:space="preserve">מקצוע שונים מכוח סעיף 2א לחוק הנוער (טיפול והשגחה), התש"ך-1960 (להלן: </w:t>
      </w:r>
      <w:r w:rsidRPr="006B0B9C">
        <w:rPr>
          <w:rFonts w:ascii="Century" w:hAnsi="Century" w:cs="Miriam" w:hint="eastAsia"/>
          <w:b/>
          <w:spacing w:val="0"/>
          <w:szCs w:val="24"/>
          <w:rtl/>
        </w:rPr>
        <w:t>חוק</w:t>
      </w:r>
      <w:r w:rsidRPr="006B0B9C">
        <w:rPr>
          <w:rFonts w:ascii="Century" w:hAnsi="Century" w:cs="Miriam"/>
          <w:b/>
          <w:spacing w:val="0"/>
          <w:szCs w:val="24"/>
          <w:rtl/>
        </w:rPr>
        <w:t xml:space="preserve"> </w:t>
      </w:r>
      <w:r w:rsidRPr="006B0B9C">
        <w:rPr>
          <w:rFonts w:ascii="Century" w:hAnsi="Century" w:cs="Miriam" w:hint="eastAsia"/>
          <w:b/>
          <w:spacing w:val="0"/>
          <w:szCs w:val="24"/>
          <w:rtl/>
        </w:rPr>
        <w:t>הנוער</w:t>
      </w:r>
      <w:r>
        <w:rPr>
          <w:rFonts w:hint="cs"/>
          <w:rtl/>
        </w:rPr>
        <w:t xml:space="preserve"> </w:t>
      </w:r>
      <w:r w:rsidRPr="003D0AA2">
        <w:rPr>
          <w:rFonts w:ascii="Century" w:hAnsi="Century" w:cs="Miriam"/>
          <w:b/>
          <w:spacing w:val="0"/>
          <w:szCs w:val="24"/>
          <w:rtl/>
        </w:rPr>
        <w:t>(</w:t>
      </w:r>
      <w:r w:rsidRPr="001422CA">
        <w:rPr>
          <w:rFonts w:ascii="Century" w:hAnsi="Century" w:cs="Miriam" w:hint="eastAsia"/>
          <w:b/>
          <w:spacing w:val="0"/>
          <w:szCs w:val="24"/>
          <w:rtl/>
        </w:rPr>
        <w:t>טיפול</w:t>
      </w:r>
      <w:r w:rsidRPr="001422CA">
        <w:rPr>
          <w:rFonts w:ascii="Century" w:hAnsi="Century" w:cs="Miriam"/>
          <w:b/>
          <w:spacing w:val="0"/>
          <w:szCs w:val="24"/>
          <w:rtl/>
        </w:rPr>
        <w:t xml:space="preserve"> </w:t>
      </w:r>
      <w:r w:rsidRPr="001422CA">
        <w:rPr>
          <w:rFonts w:ascii="Century" w:hAnsi="Century" w:cs="Miriam" w:hint="eastAsia"/>
          <w:b/>
          <w:spacing w:val="0"/>
          <w:szCs w:val="24"/>
          <w:rtl/>
        </w:rPr>
        <w:t>והשגחה</w:t>
      </w:r>
      <w:r w:rsidRPr="000F30DA">
        <w:rPr>
          <w:rFonts w:ascii="Century" w:hAnsi="Century" w:cs="Miriam"/>
          <w:b/>
          <w:spacing w:val="0"/>
          <w:szCs w:val="24"/>
          <w:rtl/>
        </w:rPr>
        <w:t>)</w:t>
      </w:r>
      <w:r>
        <w:rPr>
          <w:rFonts w:hint="cs"/>
          <w:rtl/>
        </w:rPr>
        <w:t xml:space="preserve">). </w:t>
      </w:r>
    </w:p>
    <w:p w14:paraId="0FB0A700" w14:textId="77777777" w:rsidR="006A687A" w:rsidRDefault="006A687A" w:rsidP="006A687A">
      <w:pPr>
        <w:pStyle w:val="Ruller41"/>
        <w:rPr>
          <w:rtl/>
        </w:rPr>
      </w:pPr>
    </w:p>
    <w:p w14:paraId="07035F3B" w14:textId="5D1785C1" w:rsidR="006A687A" w:rsidRDefault="006A687A" w:rsidP="000F30DA">
      <w:pPr>
        <w:pStyle w:val="Ruller41"/>
        <w:rPr>
          <w:rtl/>
        </w:rPr>
      </w:pPr>
      <w:r>
        <w:rPr>
          <w:rFonts w:hint="cs"/>
          <w:rtl/>
        </w:rPr>
        <w:t xml:space="preserve">8. </w:t>
      </w:r>
      <w:r>
        <w:rPr>
          <w:rtl/>
        </w:rPr>
        <w:tab/>
      </w:r>
      <w:r>
        <w:rPr>
          <w:rFonts w:hint="cs"/>
          <w:rtl/>
        </w:rPr>
        <w:t xml:space="preserve">מפאת חשיבות הדברים נציג את הוראות הסעיף כלשונן. כך, סעיף 368ד(ב) לחוק העונשין קובע </w:t>
      </w:r>
      <w:r w:rsidR="000F30DA">
        <w:rPr>
          <w:rFonts w:hint="cs"/>
          <w:rtl/>
        </w:rPr>
        <w:t>כי</w:t>
      </w:r>
      <w:r>
        <w:rPr>
          <w:rFonts w:hint="cs"/>
          <w:rtl/>
        </w:rPr>
        <w:t>:</w:t>
      </w:r>
    </w:p>
    <w:p w14:paraId="2768FEB3" w14:textId="77777777" w:rsidR="006A687A" w:rsidRDefault="006A687A" w:rsidP="006A687A">
      <w:pPr>
        <w:pStyle w:val="Ruller41"/>
        <w:rPr>
          <w:rtl/>
        </w:rPr>
      </w:pPr>
    </w:p>
    <w:p w14:paraId="01FFEF93" w14:textId="77777777" w:rsidR="006A687A" w:rsidRDefault="006A687A" w:rsidP="006A687A">
      <w:pPr>
        <w:pStyle w:val="Ruller5"/>
        <w:rPr>
          <w:rtl/>
        </w:rPr>
      </w:pPr>
      <w:r>
        <w:rPr>
          <w:rFonts w:hint="cs"/>
          <w:rtl/>
        </w:rPr>
        <w:t>"</w:t>
      </w:r>
      <w:r w:rsidRPr="00446F2B">
        <w:rPr>
          <w:rFonts w:hint="eastAsia"/>
          <w:rtl/>
        </w:rPr>
        <w:t>רופא</w:t>
      </w:r>
      <w:r w:rsidRPr="00446F2B">
        <w:rPr>
          <w:rtl/>
        </w:rPr>
        <w:t xml:space="preserve">, </w:t>
      </w:r>
      <w:r w:rsidRPr="00446F2B">
        <w:rPr>
          <w:rFonts w:hint="eastAsia"/>
          <w:rtl/>
        </w:rPr>
        <w:t>אחות</w:t>
      </w:r>
      <w:r w:rsidRPr="00446F2B">
        <w:rPr>
          <w:rtl/>
        </w:rPr>
        <w:t xml:space="preserve">, </w:t>
      </w:r>
      <w:r w:rsidRPr="00446F2B">
        <w:rPr>
          <w:rFonts w:hint="eastAsia"/>
          <w:rtl/>
        </w:rPr>
        <w:t>עובד</w:t>
      </w:r>
      <w:r w:rsidRPr="00446F2B">
        <w:rPr>
          <w:rtl/>
        </w:rPr>
        <w:t xml:space="preserve"> </w:t>
      </w:r>
      <w:r w:rsidRPr="00446F2B">
        <w:rPr>
          <w:rFonts w:hint="eastAsia"/>
          <w:rtl/>
        </w:rPr>
        <w:t>חינוך</w:t>
      </w:r>
      <w:r w:rsidRPr="00446F2B">
        <w:rPr>
          <w:rtl/>
        </w:rPr>
        <w:t xml:space="preserve">, </w:t>
      </w:r>
      <w:r w:rsidRPr="00446F2B">
        <w:rPr>
          <w:rFonts w:hint="eastAsia"/>
          <w:rtl/>
        </w:rPr>
        <w:t>עובד</w:t>
      </w:r>
      <w:r w:rsidRPr="00446F2B">
        <w:rPr>
          <w:rtl/>
        </w:rPr>
        <w:t xml:space="preserve"> </w:t>
      </w:r>
      <w:r w:rsidRPr="00446F2B">
        <w:rPr>
          <w:rFonts w:hint="eastAsia"/>
          <w:rtl/>
        </w:rPr>
        <w:t>סוציאלי</w:t>
      </w:r>
      <w:r w:rsidRPr="00446F2B">
        <w:rPr>
          <w:rtl/>
        </w:rPr>
        <w:t xml:space="preserve">, </w:t>
      </w:r>
      <w:r w:rsidRPr="00446F2B">
        <w:rPr>
          <w:rFonts w:hint="eastAsia"/>
          <w:rtl/>
        </w:rPr>
        <w:t>עובד</w:t>
      </w:r>
      <w:r w:rsidRPr="00446F2B">
        <w:rPr>
          <w:rtl/>
        </w:rPr>
        <w:t xml:space="preserve"> </w:t>
      </w:r>
      <w:r w:rsidRPr="00446F2B">
        <w:rPr>
          <w:rFonts w:hint="eastAsia"/>
          <w:rtl/>
        </w:rPr>
        <w:t>שירותי</w:t>
      </w:r>
      <w:r w:rsidRPr="00446F2B">
        <w:rPr>
          <w:rtl/>
        </w:rPr>
        <w:t xml:space="preserve"> </w:t>
      </w:r>
      <w:r w:rsidRPr="00446F2B">
        <w:rPr>
          <w:rFonts w:hint="eastAsia"/>
          <w:rtl/>
        </w:rPr>
        <w:t>רווחה</w:t>
      </w:r>
      <w:r w:rsidRPr="00446F2B">
        <w:rPr>
          <w:rtl/>
        </w:rPr>
        <w:t xml:space="preserve">, </w:t>
      </w:r>
      <w:r w:rsidRPr="00446F2B">
        <w:rPr>
          <w:rFonts w:hint="eastAsia"/>
          <w:rtl/>
        </w:rPr>
        <w:t>שוטר</w:t>
      </w:r>
      <w:r w:rsidRPr="00446F2B">
        <w:rPr>
          <w:rtl/>
        </w:rPr>
        <w:t xml:space="preserve">, </w:t>
      </w:r>
      <w:r w:rsidRPr="00446F2B">
        <w:rPr>
          <w:rFonts w:hint="eastAsia"/>
          <w:rtl/>
        </w:rPr>
        <w:t>פסיכולוג</w:t>
      </w:r>
      <w:r w:rsidRPr="00446F2B">
        <w:rPr>
          <w:rtl/>
        </w:rPr>
        <w:t xml:space="preserve">, </w:t>
      </w:r>
      <w:r w:rsidRPr="00446F2B">
        <w:rPr>
          <w:rFonts w:hint="eastAsia"/>
          <w:rtl/>
        </w:rPr>
        <w:t>קרימינולוג</w:t>
      </w:r>
      <w:r w:rsidRPr="00446F2B">
        <w:rPr>
          <w:rtl/>
        </w:rPr>
        <w:t xml:space="preserve"> </w:t>
      </w:r>
      <w:r w:rsidRPr="00446F2B">
        <w:rPr>
          <w:rFonts w:hint="eastAsia"/>
          <w:rtl/>
        </w:rPr>
        <w:t>או</w:t>
      </w:r>
      <w:r w:rsidRPr="00446F2B">
        <w:rPr>
          <w:rtl/>
        </w:rPr>
        <w:t xml:space="preserve"> </w:t>
      </w:r>
      <w:r w:rsidRPr="00446F2B">
        <w:rPr>
          <w:rFonts w:hint="eastAsia"/>
          <w:rtl/>
        </w:rPr>
        <w:t>עוסק</w:t>
      </w:r>
      <w:r w:rsidRPr="00446F2B">
        <w:rPr>
          <w:rtl/>
        </w:rPr>
        <w:t xml:space="preserve"> </w:t>
      </w:r>
      <w:r w:rsidRPr="00446F2B">
        <w:rPr>
          <w:rFonts w:hint="eastAsia"/>
          <w:rtl/>
        </w:rPr>
        <w:t>במקצוע</w:t>
      </w:r>
      <w:r w:rsidRPr="00446F2B">
        <w:rPr>
          <w:rtl/>
        </w:rPr>
        <w:t xml:space="preserve"> </w:t>
      </w:r>
      <w:r w:rsidRPr="00446F2B">
        <w:rPr>
          <w:rFonts w:hint="eastAsia"/>
          <w:rtl/>
        </w:rPr>
        <w:t>פרה</w:t>
      </w:r>
      <w:r w:rsidRPr="00446F2B">
        <w:rPr>
          <w:rtl/>
        </w:rPr>
        <w:t xml:space="preserve">-רפואי, </w:t>
      </w:r>
      <w:r w:rsidRPr="00446F2B">
        <w:rPr>
          <w:rFonts w:hint="eastAsia"/>
          <w:rtl/>
        </w:rPr>
        <w:t>וכן</w:t>
      </w:r>
      <w:r w:rsidRPr="00446F2B">
        <w:rPr>
          <w:rtl/>
        </w:rPr>
        <w:t xml:space="preserve"> </w:t>
      </w:r>
      <w:r w:rsidRPr="00446F2B">
        <w:rPr>
          <w:rFonts w:hint="eastAsia"/>
          <w:rtl/>
        </w:rPr>
        <w:t>מנהל</w:t>
      </w:r>
      <w:r w:rsidRPr="00446F2B">
        <w:rPr>
          <w:rtl/>
        </w:rPr>
        <w:t xml:space="preserve"> </w:t>
      </w:r>
      <w:r w:rsidRPr="00446F2B">
        <w:rPr>
          <w:rFonts w:hint="eastAsia"/>
          <w:rtl/>
        </w:rPr>
        <w:t>או</w:t>
      </w:r>
      <w:r w:rsidRPr="00446F2B">
        <w:rPr>
          <w:rtl/>
        </w:rPr>
        <w:t xml:space="preserve"> </w:t>
      </w:r>
      <w:r w:rsidRPr="00446F2B">
        <w:rPr>
          <w:rFonts w:hint="eastAsia"/>
          <w:rtl/>
        </w:rPr>
        <w:t>איש</w:t>
      </w:r>
      <w:r w:rsidRPr="00446F2B">
        <w:rPr>
          <w:rtl/>
        </w:rPr>
        <w:t xml:space="preserve"> </w:t>
      </w:r>
      <w:r w:rsidRPr="00446F2B">
        <w:rPr>
          <w:rFonts w:hint="eastAsia"/>
          <w:rtl/>
        </w:rPr>
        <w:t>צוות</w:t>
      </w:r>
      <w:r w:rsidRPr="00446F2B">
        <w:rPr>
          <w:rtl/>
        </w:rPr>
        <w:t xml:space="preserve"> </w:t>
      </w:r>
      <w:r w:rsidRPr="00446F2B">
        <w:rPr>
          <w:rFonts w:hint="eastAsia"/>
          <w:rtl/>
        </w:rPr>
        <w:t>במעון</w:t>
      </w:r>
      <w:r w:rsidRPr="00446F2B">
        <w:rPr>
          <w:rtl/>
        </w:rPr>
        <w:t xml:space="preserve"> </w:t>
      </w:r>
      <w:r w:rsidRPr="00446F2B">
        <w:rPr>
          <w:rFonts w:hint="eastAsia"/>
          <w:rtl/>
        </w:rPr>
        <w:t>או</w:t>
      </w:r>
      <w:r w:rsidRPr="00446F2B">
        <w:rPr>
          <w:rtl/>
        </w:rPr>
        <w:t xml:space="preserve"> </w:t>
      </w:r>
      <w:r w:rsidRPr="00446F2B">
        <w:rPr>
          <w:rFonts w:hint="eastAsia"/>
          <w:rtl/>
        </w:rPr>
        <w:t>במוסד</w:t>
      </w:r>
      <w:r w:rsidRPr="00446F2B">
        <w:rPr>
          <w:rtl/>
        </w:rPr>
        <w:t xml:space="preserve"> </w:t>
      </w:r>
      <w:r w:rsidRPr="00446F2B">
        <w:rPr>
          <w:rFonts w:hint="eastAsia"/>
          <w:rtl/>
        </w:rPr>
        <w:t>שבו</w:t>
      </w:r>
      <w:r w:rsidRPr="00446F2B">
        <w:rPr>
          <w:rtl/>
        </w:rPr>
        <w:t xml:space="preserve"> </w:t>
      </w:r>
      <w:r w:rsidRPr="00446F2B">
        <w:rPr>
          <w:rFonts w:hint="eastAsia"/>
          <w:rtl/>
        </w:rPr>
        <w:t>נמצא</w:t>
      </w:r>
      <w:r w:rsidRPr="00446F2B">
        <w:rPr>
          <w:rtl/>
        </w:rPr>
        <w:t xml:space="preserve"> </w:t>
      </w:r>
      <w:r w:rsidRPr="00446F2B">
        <w:rPr>
          <w:rFonts w:hint="eastAsia"/>
          <w:rtl/>
        </w:rPr>
        <w:t>קטין</w:t>
      </w:r>
      <w:r w:rsidRPr="00446F2B">
        <w:rPr>
          <w:rtl/>
        </w:rPr>
        <w:t xml:space="preserve"> </w:t>
      </w:r>
      <w:r w:rsidRPr="00446F2B">
        <w:rPr>
          <w:rFonts w:hint="eastAsia"/>
          <w:rtl/>
        </w:rPr>
        <w:t>או</w:t>
      </w:r>
      <w:r w:rsidRPr="00446F2B">
        <w:rPr>
          <w:rtl/>
        </w:rPr>
        <w:t xml:space="preserve"> </w:t>
      </w:r>
      <w:r w:rsidRPr="00446F2B">
        <w:rPr>
          <w:rFonts w:hint="eastAsia"/>
          <w:rtl/>
        </w:rPr>
        <w:t>חסר</w:t>
      </w:r>
      <w:r w:rsidRPr="00446F2B">
        <w:rPr>
          <w:rtl/>
        </w:rPr>
        <w:t xml:space="preserve"> </w:t>
      </w:r>
      <w:r w:rsidRPr="00446F2B">
        <w:rPr>
          <w:rFonts w:hint="eastAsia"/>
          <w:rtl/>
        </w:rPr>
        <w:t>ישע</w:t>
      </w:r>
      <w:r w:rsidRPr="00446F2B">
        <w:rPr>
          <w:rtl/>
        </w:rPr>
        <w:t xml:space="preserve"> - </w:t>
      </w:r>
      <w:r w:rsidRPr="00446F2B">
        <w:rPr>
          <w:rFonts w:hint="eastAsia"/>
          <w:rtl/>
        </w:rPr>
        <w:t>שעקב</w:t>
      </w:r>
      <w:r w:rsidRPr="00446F2B">
        <w:rPr>
          <w:rtl/>
        </w:rPr>
        <w:t xml:space="preserve"> </w:t>
      </w:r>
      <w:r w:rsidRPr="00446F2B">
        <w:rPr>
          <w:rFonts w:hint="eastAsia"/>
          <w:rtl/>
        </w:rPr>
        <w:t>עיסוקם</w:t>
      </w:r>
      <w:r w:rsidRPr="00446F2B">
        <w:rPr>
          <w:rtl/>
        </w:rPr>
        <w:t xml:space="preserve"> </w:t>
      </w:r>
      <w:r w:rsidRPr="00446F2B">
        <w:rPr>
          <w:rFonts w:hint="eastAsia"/>
          <w:rtl/>
        </w:rPr>
        <w:t>במקצועם</w:t>
      </w:r>
      <w:r w:rsidRPr="00446F2B">
        <w:rPr>
          <w:rtl/>
        </w:rPr>
        <w:t xml:space="preserve"> </w:t>
      </w:r>
      <w:r w:rsidRPr="00446F2B">
        <w:rPr>
          <w:rFonts w:hint="eastAsia"/>
          <w:rtl/>
        </w:rPr>
        <w:t>או</w:t>
      </w:r>
      <w:r w:rsidRPr="00446F2B">
        <w:rPr>
          <w:rtl/>
        </w:rPr>
        <w:t xml:space="preserve"> </w:t>
      </w:r>
      <w:r w:rsidRPr="00446F2B">
        <w:rPr>
          <w:rFonts w:hint="eastAsia"/>
          <w:rtl/>
        </w:rPr>
        <w:t>בתפקידם</w:t>
      </w:r>
      <w:r w:rsidRPr="00446F2B">
        <w:rPr>
          <w:rtl/>
        </w:rPr>
        <w:t xml:space="preserve"> </w:t>
      </w:r>
      <w:r w:rsidRPr="00446F2B">
        <w:rPr>
          <w:rFonts w:hint="eastAsia"/>
          <w:rtl/>
        </w:rPr>
        <w:t>היה</w:t>
      </w:r>
      <w:r w:rsidRPr="00446F2B">
        <w:rPr>
          <w:rtl/>
        </w:rPr>
        <w:t xml:space="preserve"> </w:t>
      </w:r>
      <w:r w:rsidRPr="00446F2B">
        <w:rPr>
          <w:rFonts w:hint="eastAsia"/>
          <w:rtl/>
        </w:rPr>
        <w:t>להם</w:t>
      </w:r>
      <w:r w:rsidRPr="00446F2B">
        <w:rPr>
          <w:rtl/>
        </w:rPr>
        <w:t xml:space="preserve"> </w:t>
      </w:r>
      <w:r w:rsidRPr="00446F2B">
        <w:rPr>
          <w:rFonts w:hint="eastAsia"/>
          <w:rtl/>
        </w:rPr>
        <w:t>יסוד</w:t>
      </w:r>
      <w:r w:rsidRPr="00446F2B">
        <w:rPr>
          <w:rtl/>
        </w:rPr>
        <w:t xml:space="preserve"> </w:t>
      </w:r>
      <w:r w:rsidRPr="00446F2B">
        <w:rPr>
          <w:rFonts w:hint="eastAsia"/>
          <w:rtl/>
        </w:rPr>
        <w:t>סביר</w:t>
      </w:r>
      <w:r w:rsidRPr="00446F2B">
        <w:rPr>
          <w:rtl/>
        </w:rPr>
        <w:t xml:space="preserve"> </w:t>
      </w:r>
      <w:r w:rsidRPr="00446F2B">
        <w:rPr>
          <w:rFonts w:hint="eastAsia"/>
          <w:rtl/>
        </w:rPr>
        <w:t>לחשוב</w:t>
      </w:r>
      <w:r w:rsidRPr="00446F2B">
        <w:rPr>
          <w:rtl/>
        </w:rPr>
        <w:t xml:space="preserve"> </w:t>
      </w:r>
      <w:r w:rsidRPr="00446F2B">
        <w:rPr>
          <w:rFonts w:hint="eastAsia"/>
          <w:rtl/>
        </w:rPr>
        <w:t>כי</w:t>
      </w:r>
      <w:r w:rsidRPr="00446F2B">
        <w:rPr>
          <w:rtl/>
        </w:rPr>
        <w:t xml:space="preserve"> </w:t>
      </w:r>
      <w:r w:rsidRPr="00446F2B">
        <w:rPr>
          <w:rFonts w:hint="eastAsia"/>
          <w:rtl/>
        </w:rPr>
        <w:t>נעברה</w:t>
      </w:r>
      <w:r w:rsidRPr="00446F2B">
        <w:rPr>
          <w:rtl/>
        </w:rPr>
        <w:t xml:space="preserve"> </w:t>
      </w:r>
      <w:r w:rsidRPr="00446F2B">
        <w:rPr>
          <w:rFonts w:hint="eastAsia"/>
          <w:rtl/>
        </w:rPr>
        <w:t>עבירה</w:t>
      </w:r>
      <w:r w:rsidRPr="00446F2B">
        <w:rPr>
          <w:rtl/>
        </w:rPr>
        <w:t xml:space="preserve"> </w:t>
      </w:r>
      <w:r w:rsidRPr="00446F2B">
        <w:rPr>
          <w:rFonts w:hint="eastAsia"/>
          <w:rtl/>
        </w:rPr>
        <w:t>בקטין</w:t>
      </w:r>
      <w:r w:rsidRPr="00446F2B">
        <w:rPr>
          <w:rtl/>
        </w:rPr>
        <w:t xml:space="preserve"> </w:t>
      </w:r>
      <w:r w:rsidRPr="00446F2B">
        <w:rPr>
          <w:rFonts w:hint="eastAsia"/>
          <w:rtl/>
        </w:rPr>
        <w:t>או</w:t>
      </w:r>
      <w:r w:rsidRPr="00446F2B">
        <w:rPr>
          <w:rtl/>
        </w:rPr>
        <w:t xml:space="preserve"> </w:t>
      </w:r>
      <w:r w:rsidRPr="00446F2B">
        <w:rPr>
          <w:rFonts w:hint="eastAsia"/>
          <w:rtl/>
        </w:rPr>
        <w:t>חסר</w:t>
      </w:r>
      <w:r w:rsidRPr="00446F2B">
        <w:rPr>
          <w:rtl/>
        </w:rPr>
        <w:t xml:space="preserve"> </w:t>
      </w:r>
      <w:r w:rsidRPr="00446F2B">
        <w:rPr>
          <w:rFonts w:hint="eastAsia"/>
          <w:rtl/>
        </w:rPr>
        <w:t>ישע</w:t>
      </w:r>
      <w:r w:rsidRPr="00446F2B">
        <w:rPr>
          <w:rtl/>
        </w:rPr>
        <w:t xml:space="preserve"> </w:t>
      </w:r>
      <w:r w:rsidRPr="00446F2B">
        <w:rPr>
          <w:rFonts w:hint="eastAsia"/>
          <w:rtl/>
        </w:rPr>
        <w:t>בידי</w:t>
      </w:r>
      <w:r w:rsidRPr="00446F2B">
        <w:rPr>
          <w:rtl/>
        </w:rPr>
        <w:t xml:space="preserve"> </w:t>
      </w:r>
      <w:r w:rsidRPr="00446F2B">
        <w:rPr>
          <w:rFonts w:hint="eastAsia"/>
          <w:rtl/>
        </w:rPr>
        <w:t>אחראי</w:t>
      </w:r>
      <w:r w:rsidRPr="00446F2B">
        <w:rPr>
          <w:rtl/>
        </w:rPr>
        <w:t xml:space="preserve"> </w:t>
      </w:r>
      <w:r w:rsidRPr="00446F2B">
        <w:rPr>
          <w:rFonts w:hint="eastAsia"/>
          <w:rtl/>
        </w:rPr>
        <w:t>עליו</w:t>
      </w:r>
      <w:r w:rsidRPr="00446F2B">
        <w:rPr>
          <w:rtl/>
        </w:rPr>
        <w:t xml:space="preserve"> - </w:t>
      </w:r>
      <w:r w:rsidRPr="00446F2B">
        <w:rPr>
          <w:rFonts w:hint="eastAsia"/>
          <w:rtl/>
        </w:rPr>
        <w:t>חובה</w:t>
      </w:r>
      <w:r w:rsidRPr="00446F2B">
        <w:rPr>
          <w:rtl/>
        </w:rPr>
        <w:t xml:space="preserve"> </w:t>
      </w:r>
      <w:r w:rsidRPr="00446F2B">
        <w:rPr>
          <w:rFonts w:hint="eastAsia"/>
          <w:rtl/>
        </w:rPr>
        <w:t>עליהם</w:t>
      </w:r>
      <w:r w:rsidRPr="00446F2B">
        <w:rPr>
          <w:rtl/>
        </w:rPr>
        <w:t xml:space="preserve"> </w:t>
      </w:r>
      <w:r w:rsidRPr="00446F2B">
        <w:rPr>
          <w:rFonts w:hint="eastAsia"/>
          <w:rtl/>
        </w:rPr>
        <w:t>לדווח</w:t>
      </w:r>
      <w:r w:rsidRPr="00446F2B">
        <w:rPr>
          <w:rtl/>
        </w:rPr>
        <w:t xml:space="preserve"> </w:t>
      </w:r>
      <w:r w:rsidRPr="00446F2B">
        <w:rPr>
          <w:rFonts w:hint="eastAsia"/>
          <w:rtl/>
        </w:rPr>
        <w:t>על</w:t>
      </w:r>
      <w:r w:rsidRPr="00446F2B">
        <w:rPr>
          <w:rtl/>
        </w:rPr>
        <w:t xml:space="preserve"> </w:t>
      </w:r>
      <w:r w:rsidRPr="00446F2B">
        <w:rPr>
          <w:rFonts w:hint="eastAsia"/>
          <w:rtl/>
        </w:rPr>
        <w:t>כך</w:t>
      </w:r>
      <w:r w:rsidRPr="00446F2B">
        <w:rPr>
          <w:rtl/>
        </w:rPr>
        <w:t xml:space="preserve"> </w:t>
      </w:r>
      <w:r w:rsidRPr="00446F2B">
        <w:rPr>
          <w:rFonts w:hint="eastAsia"/>
          <w:rtl/>
        </w:rPr>
        <w:t>בהקדם</w:t>
      </w:r>
      <w:r w:rsidRPr="00446F2B">
        <w:rPr>
          <w:rtl/>
        </w:rPr>
        <w:t xml:space="preserve"> </w:t>
      </w:r>
      <w:r w:rsidRPr="00446F2B">
        <w:rPr>
          <w:rFonts w:hint="eastAsia"/>
          <w:rtl/>
        </w:rPr>
        <w:t>האפשרי</w:t>
      </w:r>
      <w:r w:rsidRPr="00446F2B">
        <w:rPr>
          <w:rtl/>
        </w:rPr>
        <w:t xml:space="preserve"> </w:t>
      </w:r>
      <w:r w:rsidRPr="00446F2B">
        <w:rPr>
          <w:rFonts w:hint="eastAsia"/>
          <w:rtl/>
        </w:rPr>
        <w:t>לעובד</w:t>
      </w:r>
      <w:r w:rsidRPr="00446F2B">
        <w:rPr>
          <w:rtl/>
        </w:rPr>
        <w:t xml:space="preserve"> </w:t>
      </w:r>
      <w:r w:rsidRPr="00446F2B">
        <w:rPr>
          <w:rFonts w:hint="eastAsia"/>
          <w:rtl/>
        </w:rPr>
        <w:t>סוציאלי</w:t>
      </w:r>
      <w:r w:rsidRPr="00446F2B">
        <w:rPr>
          <w:rtl/>
        </w:rPr>
        <w:t xml:space="preserve"> </w:t>
      </w:r>
      <w:r w:rsidRPr="00446F2B">
        <w:rPr>
          <w:rFonts w:hint="eastAsia"/>
          <w:rtl/>
        </w:rPr>
        <w:t>שמונה</w:t>
      </w:r>
      <w:r w:rsidRPr="00446F2B">
        <w:rPr>
          <w:rtl/>
        </w:rPr>
        <w:t xml:space="preserve"> </w:t>
      </w:r>
      <w:r w:rsidRPr="00446F2B">
        <w:rPr>
          <w:rFonts w:hint="eastAsia"/>
          <w:rtl/>
        </w:rPr>
        <w:t>לפי</w:t>
      </w:r>
      <w:r w:rsidRPr="00446F2B">
        <w:rPr>
          <w:rtl/>
        </w:rPr>
        <w:t xml:space="preserve"> </w:t>
      </w:r>
      <w:r w:rsidRPr="00446F2B">
        <w:rPr>
          <w:rFonts w:hint="eastAsia"/>
          <w:rtl/>
        </w:rPr>
        <w:t>חוק</w:t>
      </w:r>
      <w:r w:rsidRPr="00446F2B">
        <w:rPr>
          <w:rtl/>
        </w:rPr>
        <w:t xml:space="preserve"> </w:t>
      </w:r>
      <w:r w:rsidRPr="00446F2B">
        <w:rPr>
          <w:rFonts w:hint="eastAsia"/>
          <w:rtl/>
        </w:rPr>
        <w:t>או</w:t>
      </w:r>
      <w:r w:rsidRPr="00446F2B">
        <w:rPr>
          <w:rtl/>
        </w:rPr>
        <w:t xml:space="preserve"> </w:t>
      </w:r>
      <w:r w:rsidRPr="00446F2B">
        <w:rPr>
          <w:rFonts w:hint="eastAsia"/>
          <w:rtl/>
        </w:rPr>
        <w:t>למשטרה</w:t>
      </w:r>
      <w:r w:rsidRPr="00446F2B">
        <w:rPr>
          <w:rtl/>
        </w:rPr>
        <w:t xml:space="preserve">; </w:t>
      </w:r>
      <w:r w:rsidRPr="00446F2B">
        <w:rPr>
          <w:rFonts w:hint="eastAsia"/>
          <w:rtl/>
        </w:rPr>
        <w:t>העובר</w:t>
      </w:r>
      <w:r w:rsidRPr="00446F2B">
        <w:rPr>
          <w:rtl/>
        </w:rPr>
        <w:t xml:space="preserve"> </w:t>
      </w:r>
      <w:r w:rsidRPr="00446F2B">
        <w:rPr>
          <w:rFonts w:hint="eastAsia"/>
          <w:rtl/>
        </w:rPr>
        <w:t>על</w:t>
      </w:r>
      <w:r w:rsidRPr="00446F2B">
        <w:rPr>
          <w:rtl/>
        </w:rPr>
        <w:t xml:space="preserve"> </w:t>
      </w:r>
      <w:r w:rsidRPr="00446F2B">
        <w:rPr>
          <w:rFonts w:hint="eastAsia"/>
          <w:rtl/>
        </w:rPr>
        <w:t>הוראה</w:t>
      </w:r>
      <w:r w:rsidRPr="00446F2B">
        <w:rPr>
          <w:rtl/>
        </w:rPr>
        <w:t xml:space="preserve"> </w:t>
      </w:r>
      <w:r w:rsidRPr="00446F2B">
        <w:rPr>
          <w:rFonts w:hint="eastAsia"/>
          <w:rtl/>
        </w:rPr>
        <w:t>זו</w:t>
      </w:r>
      <w:r w:rsidRPr="00446F2B">
        <w:rPr>
          <w:rtl/>
        </w:rPr>
        <w:t xml:space="preserve">, </w:t>
      </w:r>
      <w:r w:rsidRPr="00446F2B">
        <w:rPr>
          <w:rFonts w:hint="eastAsia"/>
          <w:rtl/>
        </w:rPr>
        <w:t>דינו</w:t>
      </w:r>
      <w:r w:rsidRPr="00446F2B">
        <w:rPr>
          <w:rtl/>
        </w:rPr>
        <w:t xml:space="preserve"> - </w:t>
      </w:r>
      <w:r w:rsidRPr="00446F2B">
        <w:rPr>
          <w:rFonts w:hint="eastAsia"/>
          <w:rtl/>
        </w:rPr>
        <w:t>מאסר</w:t>
      </w:r>
      <w:r w:rsidRPr="00446F2B">
        <w:rPr>
          <w:rtl/>
        </w:rPr>
        <w:t xml:space="preserve"> </w:t>
      </w:r>
      <w:r w:rsidRPr="00446F2B">
        <w:rPr>
          <w:rFonts w:hint="eastAsia"/>
          <w:rtl/>
        </w:rPr>
        <w:t>ששה</w:t>
      </w:r>
      <w:r w:rsidRPr="00446F2B">
        <w:rPr>
          <w:rtl/>
        </w:rPr>
        <w:t xml:space="preserve"> </w:t>
      </w:r>
      <w:r w:rsidRPr="00446F2B">
        <w:rPr>
          <w:rFonts w:hint="eastAsia"/>
          <w:rtl/>
        </w:rPr>
        <w:t>חדשים</w:t>
      </w:r>
      <w:r>
        <w:rPr>
          <w:rFonts w:hint="cs"/>
          <w:rtl/>
        </w:rPr>
        <w:t>".</w:t>
      </w:r>
    </w:p>
    <w:p w14:paraId="52968603" w14:textId="77777777" w:rsidR="006A687A" w:rsidRPr="008A07E7" w:rsidRDefault="006A687A" w:rsidP="006A687A">
      <w:pPr>
        <w:pStyle w:val="Ruller5"/>
        <w:rPr>
          <w:sz w:val="28"/>
          <w:szCs w:val="36"/>
          <w:rtl/>
        </w:rPr>
      </w:pPr>
    </w:p>
    <w:p w14:paraId="739FEFFD" w14:textId="77777777" w:rsidR="006A687A" w:rsidRDefault="006A687A" w:rsidP="006A687A">
      <w:pPr>
        <w:pStyle w:val="Ruller41"/>
        <w:rPr>
          <w:rtl/>
        </w:rPr>
      </w:pPr>
      <w:r>
        <w:rPr>
          <w:rtl/>
        </w:rPr>
        <w:tab/>
      </w:r>
      <w:r>
        <w:rPr>
          <w:rFonts w:hint="cs"/>
          <w:rtl/>
        </w:rPr>
        <w:t xml:space="preserve">על כך מוסיף סעיף 368ד(ג2) לחוק העונשין, שנוסף בשלב מאוחר יותר (במסגרת חקיקתו של חוק העונשין (תיקון מס' 94), התשס"ז-2007 (להלן: </w:t>
      </w:r>
      <w:r w:rsidRPr="00F86147">
        <w:rPr>
          <w:rFonts w:ascii="Century" w:hAnsi="Century" w:cs="Miriam" w:hint="eastAsia"/>
          <w:b/>
          <w:spacing w:val="0"/>
          <w:szCs w:val="24"/>
          <w:rtl/>
        </w:rPr>
        <w:t>תיקון</w:t>
      </w:r>
      <w:r w:rsidRPr="00F86147">
        <w:rPr>
          <w:rFonts w:ascii="Century" w:hAnsi="Century" w:cs="Miriam"/>
          <w:b/>
          <w:spacing w:val="0"/>
          <w:szCs w:val="24"/>
          <w:rtl/>
        </w:rPr>
        <w:t xml:space="preserve"> </w:t>
      </w:r>
      <w:r w:rsidRPr="00F86147">
        <w:rPr>
          <w:rFonts w:ascii="Century" w:hAnsi="Century" w:cs="Miriam" w:hint="eastAsia"/>
          <w:b/>
          <w:spacing w:val="0"/>
          <w:szCs w:val="24"/>
          <w:rtl/>
        </w:rPr>
        <w:t>מס</w:t>
      </w:r>
      <w:r w:rsidRPr="00F86147">
        <w:rPr>
          <w:rFonts w:ascii="Century" w:hAnsi="Century" w:cs="Miriam"/>
          <w:b/>
          <w:spacing w:val="0"/>
          <w:szCs w:val="24"/>
          <w:rtl/>
        </w:rPr>
        <w:t>' 94</w:t>
      </w:r>
      <w:r>
        <w:rPr>
          <w:rFonts w:hint="cs"/>
          <w:rtl/>
        </w:rPr>
        <w:t>)) בקבעו:</w:t>
      </w:r>
    </w:p>
    <w:p w14:paraId="59C6B804" w14:textId="77777777" w:rsidR="006A687A" w:rsidRDefault="006A687A" w:rsidP="006A687A">
      <w:pPr>
        <w:pStyle w:val="Ruller5"/>
        <w:rPr>
          <w:rtl/>
        </w:rPr>
      </w:pPr>
    </w:p>
    <w:p w14:paraId="378E5C14" w14:textId="77777777" w:rsidR="006A687A" w:rsidRPr="00D63EC8" w:rsidRDefault="006A687A" w:rsidP="006A687A">
      <w:pPr>
        <w:pStyle w:val="Ruller5"/>
        <w:rPr>
          <w:rtl/>
        </w:rPr>
      </w:pPr>
      <w:proofErr w:type="gramStart"/>
      <w:r>
        <w:t>"</w:t>
      </w:r>
      <w:r w:rsidRPr="00446F2B">
        <w:rPr>
          <w:rFonts w:hint="eastAsia"/>
          <w:rtl/>
        </w:rPr>
        <w:t>בעל</w:t>
      </w:r>
      <w:r w:rsidRPr="00446F2B">
        <w:rPr>
          <w:rtl/>
        </w:rPr>
        <w:t xml:space="preserve"> </w:t>
      </w:r>
      <w:r w:rsidRPr="00446F2B">
        <w:rPr>
          <w:rFonts w:hint="eastAsia"/>
          <w:rtl/>
        </w:rPr>
        <w:t>מקצוע</w:t>
      </w:r>
      <w:r w:rsidRPr="00446F2B">
        <w:rPr>
          <w:rtl/>
        </w:rPr>
        <w:t xml:space="preserve"> </w:t>
      </w:r>
      <w:r w:rsidRPr="00446F2B">
        <w:rPr>
          <w:rFonts w:hint="eastAsia"/>
          <w:rtl/>
        </w:rPr>
        <w:t>מהמנויים</w:t>
      </w:r>
      <w:r w:rsidRPr="00446F2B">
        <w:rPr>
          <w:rtl/>
        </w:rPr>
        <w:t xml:space="preserve"> </w:t>
      </w:r>
      <w:r w:rsidRPr="00446F2B">
        <w:rPr>
          <w:rFonts w:hint="eastAsia"/>
          <w:rtl/>
        </w:rPr>
        <w:t>בסעיף</w:t>
      </w:r>
      <w:r w:rsidRPr="00446F2B">
        <w:rPr>
          <w:rtl/>
        </w:rPr>
        <w:t xml:space="preserve"> </w:t>
      </w:r>
      <w:r w:rsidRPr="00446F2B">
        <w:rPr>
          <w:rFonts w:hint="eastAsia"/>
          <w:rtl/>
        </w:rPr>
        <w:t>קטן</w:t>
      </w:r>
      <w:r w:rsidRPr="00446F2B">
        <w:rPr>
          <w:rtl/>
        </w:rPr>
        <w:t xml:space="preserve"> (ב), </w:t>
      </w:r>
      <w:r w:rsidRPr="00446F2B">
        <w:rPr>
          <w:rFonts w:hint="eastAsia"/>
          <w:rtl/>
        </w:rPr>
        <w:t>שעקב</w:t>
      </w:r>
      <w:r w:rsidRPr="00446F2B">
        <w:rPr>
          <w:rtl/>
        </w:rPr>
        <w:t xml:space="preserve"> </w:t>
      </w:r>
      <w:r w:rsidRPr="00446F2B">
        <w:rPr>
          <w:rFonts w:hint="eastAsia"/>
          <w:rtl/>
        </w:rPr>
        <w:t>עיסוקו</w:t>
      </w:r>
      <w:r w:rsidRPr="00446F2B">
        <w:rPr>
          <w:rtl/>
        </w:rPr>
        <w:t xml:space="preserve"> </w:t>
      </w:r>
      <w:r w:rsidRPr="00446F2B">
        <w:rPr>
          <w:rFonts w:hint="eastAsia"/>
          <w:rtl/>
        </w:rPr>
        <w:t>במקצועו</w:t>
      </w:r>
      <w:r w:rsidRPr="00446F2B">
        <w:rPr>
          <w:rtl/>
        </w:rPr>
        <w:t xml:space="preserve"> </w:t>
      </w:r>
      <w:r w:rsidRPr="00446F2B">
        <w:rPr>
          <w:rFonts w:hint="eastAsia"/>
          <w:rtl/>
        </w:rPr>
        <w:t>או</w:t>
      </w:r>
      <w:r w:rsidRPr="00446F2B">
        <w:rPr>
          <w:rtl/>
        </w:rPr>
        <w:t xml:space="preserve"> </w:t>
      </w:r>
      <w:r w:rsidRPr="00446F2B">
        <w:rPr>
          <w:rFonts w:hint="eastAsia"/>
          <w:rtl/>
        </w:rPr>
        <w:t>בתפקידו</w:t>
      </w:r>
      <w:r w:rsidRPr="00446F2B">
        <w:rPr>
          <w:rtl/>
        </w:rPr>
        <w:t xml:space="preserve"> </w:t>
      </w:r>
      <w:r w:rsidRPr="00446F2B">
        <w:rPr>
          <w:rFonts w:hint="eastAsia"/>
          <w:rtl/>
        </w:rPr>
        <w:t>היה</w:t>
      </w:r>
      <w:r w:rsidRPr="00446F2B">
        <w:rPr>
          <w:rtl/>
        </w:rPr>
        <w:t xml:space="preserve"> </w:t>
      </w:r>
      <w:r w:rsidRPr="00446F2B">
        <w:rPr>
          <w:rFonts w:hint="eastAsia"/>
          <w:rtl/>
        </w:rPr>
        <w:t>לו</w:t>
      </w:r>
      <w:r w:rsidRPr="00446F2B">
        <w:rPr>
          <w:rtl/>
        </w:rPr>
        <w:t xml:space="preserve"> </w:t>
      </w:r>
      <w:r w:rsidRPr="00446F2B">
        <w:rPr>
          <w:rFonts w:hint="eastAsia"/>
          <w:rtl/>
        </w:rPr>
        <w:t>יסוד</w:t>
      </w:r>
      <w:r w:rsidRPr="00446F2B">
        <w:rPr>
          <w:rtl/>
        </w:rPr>
        <w:t xml:space="preserve"> </w:t>
      </w:r>
      <w:r w:rsidRPr="00446F2B">
        <w:rPr>
          <w:rFonts w:hint="eastAsia"/>
          <w:rtl/>
        </w:rPr>
        <w:t>סביר</w:t>
      </w:r>
      <w:r w:rsidRPr="00446F2B">
        <w:rPr>
          <w:rtl/>
        </w:rPr>
        <w:t xml:space="preserve"> </w:t>
      </w:r>
      <w:r w:rsidRPr="00446F2B">
        <w:rPr>
          <w:rFonts w:hint="eastAsia"/>
          <w:rtl/>
        </w:rPr>
        <w:t>לחשוב</w:t>
      </w:r>
      <w:r w:rsidRPr="00446F2B">
        <w:rPr>
          <w:rtl/>
        </w:rPr>
        <w:t xml:space="preserve"> </w:t>
      </w:r>
      <w:r w:rsidRPr="00446F2B">
        <w:rPr>
          <w:rFonts w:hint="eastAsia"/>
          <w:rtl/>
        </w:rPr>
        <w:t>כי</w:t>
      </w:r>
      <w:r w:rsidRPr="00446F2B">
        <w:rPr>
          <w:rtl/>
        </w:rPr>
        <w:t xml:space="preserve"> </w:t>
      </w:r>
      <w:r w:rsidRPr="00446F2B">
        <w:rPr>
          <w:rFonts w:hint="eastAsia"/>
          <w:rtl/>
        </w:rPr>
        <w:t>נעברה</w:t>
      </w:r>
      <w:r w:rsidRPr="00446F2B">
        <w:rPr>
          <w:rtl/>
        </w:rPr>
        <w:t xml:space="preserve"> </w:t>
      </w:r>
      <w:r w:rsidRPr="00446F2B">
        <w:rPr>
          <w:rFonts w:hint="eastAsia"/>
          <w:rtl/>
        </w:rPr>
        <w:t>בקטין</w:t>
      </w:r>
      <w:r w:rsidRPr="00446F2B">
        <w:rPr>
          <w:rtl/>
        </w:rPr>
        <w:t xml:space="preserve"> </w:t>
      </w:r>
      <w:r w:rsidRPr="00446F2B">
        <w:rPr>
          <w:rFonts w:hint="eastAsia"/>
          <w:rtl/>
        </w:rPr>
        <w:t>או</w:t>
      </w:r>
      <w:r w:rsidRPr="00446F2B">
        <w:rPr>
          <w:rtl/>
        </w:rPr>
        <w:t xml:space="preserve"> </w:t>
      </w:r>
      <w:r w:rsidRPr="00446F2B">
        <w:rPr>
          <w:rFonts w:hint="eastAsia"/>
          <w:rtl/>
        </w:rPr>
        <w:t>בחסר</w:t>
      </w:r>
      <w:r w:rsidRPr="00446F2B">
        <w:rPr>
          <w:rtl/>
        </w:rPr>
        <w:t xml:space="preserve"> </w:t>
      </w:r>
      <w:r w:rsidRPr="00446F2B">
        <w:rPr>
          <w:rFonts w:hint="eastAsia"/>
          <w:rtl/>
        </w:rPr>
        <w:t>ישע</w:t>
      </w:r>
      <w:r w:rsidRPr="00446F2B">
        <w:rPr>
          <w:rtl/>
        </w:rPr>
        <w:t xml:space="preserve"> </w:t>
      </w:r>
      <w:r w:rsidRPr="00446F2B">
        <w:rPr>
          <w:rFonts w:hint="eastAsia"/>
          <w:rtl/>
        </w:rPr>
        <w:t>עבירת</w:t>
      </w:r>
      <w:r w:rsidRPr="00446F2B">
        <w:rPr>
          <w:rtl/>
        </w:rPr>
        <w:t xml:space="preserve"> </w:t>
      </w:r>
      <w:r w:rsidRPr="00446F2B">
        <w:rPr>
          <w:rFonts w:hint="eastAsia"/>
          <w:rtl/>
        </w:rPr>
        <w:t>מין</w:t>
      </w:r>
      <w:r w:rsidRPr="00446F2B">
        <w:rPr>
          <w:rtl/>
        </w:rPr>
        <w:t xml:space="preserve"> </w:t>
      </w:r>
      <w:r w:rsidRPr="00446F2B">
        <w:rPr>
          <w:rFonts w:hint="eastAsia"/>
          <w:rtl/>
        </w:rPr>
        <w:t>לפי</w:t>
      </w:r>
      <w:r w:rsidRPr="00446F2B">
        <w:rPr>
          <w:rtl/>
        </w:rPr>
        <w:t xml:space="preserve"> </w:t>
      </w:r>
      <w:r w:rsidRPr="00446F2B">
        <w:rPr>
          <w:rFonts w:hint="eastAsia"/>
          <w:rtl/>
        </w:rPr>
        <w:t>סעיפים</w:t>
      </w:r>
      <w:r w:rsidRPr="00446F2B">
        <w:rPr>
          <w:rtl/>
        </w:rPr>
        <w:t xml:space="preserve"> 345 </w:t>
      </w:r>
      <w:r w:rsidRPr="00446F2B">
        <w:rPr>
          <w:rFonts w:hint="eastAsia"/>
          <w:rtl/>
        </w:rPr>
        <w:t>עד</w:t>
      </w:r>
      <w:r w:rsidRPr="00446F2B">
        <w:rPr>
          <w:rtl/>
        </w:rPr>
        <w:t xml:space="preserve"> 347, 348 </w:t>
      </w:r>
      <w:r w:rsidRPr="00446F2B">
        <w:rPr>
          <w:rFonts w:hint="eastAsia"/>
          <w:rtl/>
        </w:rPr>
        <w:t>ו</w:t>
      </w:r>
      <w:r w:rsidRPr="00446F2B">
        <w:rPr>
          <w:rtl/>
        </w:rPr>
        <w:t xml:space="preserve">-351, </w:t>
      </w:r>
      <w:r w:rsidRPr="00446F2B">
        <w:rPr>
          <w:rFonts w:hint="eastAsia"/>
          <w:rtl/>
        </w:rPr>
        <w:t>בידי</w:t>
      </w:r>
      <w:r w:rsidRPr="00446F2B">
        <w:rPr>
          <w:rtl/>
        </w:rPr>
        <w:t xml:space="preserve"> </w:t>
      </w:r>
      <w:r w:rsidRPr="00446F2B">
        <w:rPr>
          <w:rFonts w:hint="eastAsia"/>
          <w:rtl/>
        </w:rPr>
        <w:t>בן</w:t>
      </w:r>
      <w:r w:rsidRPr="00446F2B">
        <w:rPr>
          <w:rtl/>
        </w:rPr>
        <w:t xml:space="preserve"> </w:t>
      </w:r>
      <w:r w:rsidRPr="00446F2B">
        <w:rPr>
          <w:rFonts w:hint="eastAsia"/>
          <w:rtl/>
        </w:rPr>
        <w:t>משפחה</w:t>
      </w:r>
      <w:r w:rsidRPr="00446F2B">
        <w:rPr>
          <w:rtl/>
        </w:rPr>
        <w:t xml:space="preserve"> </w:t>
      </w:r>
      <w:r w:rsidRPr="00446F2B">
        <w:rPr>
          <w:rFonts w:hint="eastAsia"/>
          <w:rtl/>
        </w:rPr>
        <w:t>שטרם</w:t>
      </w:r>
      <w:r w:rsidRPr="00446F2B">
        <w:rPr>
          <w:rtl/>
        </w:rPr>
        <w:t xml:space="preserve"> </w:t>
      </w:r>
      <w:r w:rsidRPr="00446F2B">
        <w:rPr>
          <w:rFonts w:hint="eastAsia"/>
          <w:rtl/>
        </w:rPr>
        <w:t>מלאו</w:t>
      </w:r>
      <w:r w:rsidRPr="00446F2B">
        <w:rPr>
          <w:rtl/>
        </w:rPr>
        <w:t xml:space="preserve"> </w:t>
      </w:r>
      <w:r w:rsidRPr="00446F2B">
        <w:rPr>
          <w:rFonts w:hint="eastAsia"/>
          <w:rtl/>
        </w:rPr>
        <w:t>לו</w:t>
      </w:r>
      <w:r w:rsidRPr="00446F2B">
        <w:rPr>
          <w:rtl/>
        </w:rPr>
        <w:t xml:space="preserve"> 18 </w:t>
      </w:r>
      <w:r w:rsidRPr="00446F2B">
        <w:rPr>
          <w:rFonts w:hint="eastAsia"/>
          <w:rtl/>
        </w:rPr>
        <w:t>שנים</w:t>
      </w:r>
      <w:r w:rsidRPr="00446F2B">
        <w:rPr>
          <w:rtl/>
        </w:rPr>
        <w:t xml:space="preserve">, </w:t>
      </w:r>
      <w:r w:rsidRPr="00446F2B">
        <w:rPr>
          <w:rFonts w:hint="eastAsia"/>
          <w:rtl/>
        </w:rPr>
        <w:t>חובה</w:t>
      </w:r>
      <w:r w:rsidRPr="00446F2B">
        <w:rPr>
          <w:rtl/>
        </w:rPr>
        <w:t xml:space="preserve"> </w:t>
      </w:r>
      <w:r w:rsidRPr="00446F2B">
        <w:rPr>
          <w:rFonts w:hint="eastAsia"/>
          <w:rtl/>
        </w:rPr>
        <w:t>עליו</w:t>
      </w:r>
      <w:r w:rsidRPr="00446F2B">
        <w:rPr>
          <w:rtl/>
        </w:rPr>
        <w:t xml:space="preserve"> </w:t>
      </w:r>
      <w:r w:rsidRPr="00446F2B">
        <w:rPr>
          <w:rFonts w:hint="eastAsia"/>
          <w:rtl/>
        </w:rPr>
        <w:t>לדווח</w:t>
      </w:r>
      <w:r w:rsidRPr="00446F2B">
        <w:rPr>
          <w:rtl/>
        </w:rPr>
        <w:t xml:space="preserve"> </w:t>
      </w:r>
      <w:r w:rsidRPr="00446F2B">
        <w:rPr>
          <w:rFonts w:hint="eastAsia"/>
          <w:rtl/>
        </w:rPr>
        <w:t>על</w:t>
      </w:r>
      <w:r w:rsidRPr="00446F2B">
        <w:rPr>
          <w:rtl/>
        </w:rPr>
        <w:t xml:space="preserve"> </w:t>
      </w:r>
      <w:r w:rsidRPr="00446F2B">
        <w:rPr>
          <w:rFonts w:hint="eastAsia"/>
          <w:rtl/>
        </w:rPr>
        <w:t>כך</w:t>
      </w:r>
      <w:r w:rsidRPr="00446F2B">
        <w:rPr>
          <w:rtl/>
        </w:rPr>
        <w:t xml:space="preserve"> </w:t>
      </w:r>
      <w:r w:rsidRPr="00446F2B">
        <w:rPr>
          <w:rFonts w:hint="eastAsia"/>
          <w:rtl/>
        </w:rPr>
        <w:t>בהקדם</w:t>
      </w:r>
      <w:r w:rsidRPr="00446F2B">
        <w:rPr>
          <w:rtl/>
        </w:rPr>
        <w:t xml:space="preserve"> </w:t>
      </w:r>
      <w:r w:rsidRPr="00446F2B">
        <w:rPr>
          <w:rFonts w:hint="eastAsia"/>
          <w:rtl/>
        </w:rPr>
        <w:t>האפשרי</w:t>
      </w:r>
      <w:r w:rsidRPr="00446F2B">
        <w:rPr>
          <w:rtl/>
        </w:rPr>
        <w:t xml:space="preserve"> </w:t>
      </w:r>
      <w:r w:rsidRPr="00446F2B">
        <w:rPr>
          <w:rFonts w:hint="eastAsia"/>
          <w:rtl/>
        </w:rPr>
        <w:t>לעובד</w:t>
      </w:r>
      <w:r w:rsidRPr="00446F2B">
        <w:rPr>
          <w:rtl/>
        </w:rPr>
        <w:t xml:space="preserve"> </w:t>
      </w:r>
      <w:r w:rsidRPr="00446F2B">
        <w:rPr>
          <w:rFonts w:hint="eastAsia"/>
          <w:rtl/>
        </w:rPr>
        <w:t>סוציאלי</w:t>
      </w:r>
      <w:r w:rsidRPr="00446F2B">
        <w:rPr>
          <w:rtl/>
        </w:rPr>
        <w:t xml:space="preserve"> </w:t>
      </w:r>
      <w:r w:rsidRPr="00446F2B">
        <w:rPr>
          <w:rFonts w:hint="eastAsia"/>
          <w:rtl/>
        </w:rPr>
        <w:t>שמונה</w:t>
      </w:r>
      <w:r w:rsidRPr="00446F2B">
        <w:rPr>
          <w:rtl/>
        </w:rPr>
        <w:t xml:space="preserve"> </w:t>
      </w:r>
      <w:r w:rsidRPr="00446F2B">
        <w:rPr>
          <w:rFonts w:hint="eastAsia"/>
          <w:rtl/>
        </w:rPr>
        <w:t>לפי</w:t>
      </w:r>
      <w:r w:rsidRPr="00446F2B">
        <w:rPr>
          <w:rtl/>
        </w:rPr>
        <w:t xml:space="preserve"> </w:t>
      </w:r>
      <w:r w:rsidRPr="00446F2B">
        <w:rPr>
          <w:rFonts w:hint="eastAsia"/>
          <w:rtl/>
        </w:rPr>
        <w:t>חוק</w:t>
      </w:r>
      <w:r w:rsidRPr="00446F2B">
        <w:rPr>
          <w:rtl/>
        </w:rPr>
        <w:t xml:space="preserve"> </w:t>
      </w:r>
      <w:r w:rsidRPr="00446F2B">
        <w:rPr>
          <w:rFonts w:hint="eastAsia"/>
          <w:rtl/>
        </w:rPr>
        <w:t>או</w:t>
      </w:r>
      <w:r w:rsidRPr="00446F2B">
        <w:rPr>
          <w:rtl/>
        </w:rPr>
        <w:t xml:space="preserve"> </w:t>
      </w:r>
      <w:r w:rsidRPr="00446F2B">
        <w:rPr>
          <w:rFonts w:hint="eastAsia"/>
          <w:rtl/>
        </w:rPr>
        <w:t>למשטרה</w:t>
      </w:r>
      <w:r w:rsidRPr="00446F2B">
        <w:rPr>
          <w:rtl/>
        </w:rPr>
        <w:t xml:space="preserve">; </w:t>
      </w:r>
      <w:r w:rsidRPr="00446F2B">
        <w:rPr>
          <w:rFonts w:hint="eastAsia"/>
          <w:rtl/>
        </w:rPr>
        <w:t>העובר</w:t>
      </w:r>
      <w:r w:rsidRPr="00446F2B">
        <w:rPr>
          <w:rtl/>
        </w:rPr>
        <w:t xml:space="preserve"> </w:t>
      </w:r>
      <w:r w:rsidRPr="00446F2B">
        <w:rPr>
          <w:rFonts w:hint="eastAsia"/>
          <w:rtl/>
        </w:rPr>
        <w:t>על</w:t>
      </w:r>
      <w:r w:rsidRPr="00446F2B">
        <w:rPr>
          <w:rtl/>
        </w:rPr>
        <w:t xml:space="preserve"> </w:t>
      </w:r>
      <w:r w:rsidRPr="00446F2B">
        <w:rPr>
          <w:rFonts w:hint="eastAsia"/>
          <w:rtl/>
        </w:rPr>
        <w:t>הוראה</w:t>
      </w:r>
      <w:r w:rsidRPr="00446F2B">
        <w:rPr>
          <w:rtl/>
        </w:rPr>
        <w:t xml:space="preserve"> </w:t>
      </w:r>
      <w:r w:rsidRPr="00446F2B">
        <w:rPr>
          <w:rFonts w:hint="eastAsia"/>
          <w:rtl/>
        </w:rPr>
        <w:t>זו</w:t>
      </w:r>
      <w:r w:rsidRPr="00446F2B">
        <w:rPr>
          <w:rtl/>
        </w:rPr>
        <w:t xml:space="preserve">, </w:t>
      </w:r>
      <w:r w:rsidRPr="00446F2B">
        <w:rPr>
          <w:rFonts w:hint="eastAsia"/>
          <w:rtl/>
        </w:rPr>
        <w:t>דינו</w:t>
      </w:r>
      <w:r w:rsidRPr="00446F2B">
        <w:rPr>
          <w:rtl/>
        </w:rPr>
        <w:t xml:space="preserve"> </w:t>
      </w:r>
      <w:r w:rsidRPr="00446F2B">
        <w:rPr>
          <w:rFonts w:hint="eastAsia"/>
          <w:rtl/>
        </w:rPr>
        <w:t>–</w:t>
      </w:r>
      <w:r w:rsidRPr="00446F2B">
        <w:rPr>
          <w:rtl/>
        </w:rPr>
        <w:t xml:space="preserve"> </w:t>
      </w:r>
      <w:r w:rsidRPr="00446F2B">
        <w:rPr>
          <w:rFonts w:hint="eastAsia"/>
          <w:rtl/>
        </w:rPr>
        <w:t>מאסר</w:t>
      </w:r>
      <w:r w:rsidRPr="00446F2B">
        <w:rPr>
          <w:rtl/>
        </w:rPr>
        <w:t xml:space="preserve"> </w:t>
      </w:r>
      <w:r w:rsidRPr="00446F2B">
        <w:rPr>
          <w:rFonts w:hint="eastAsia"/>
          <w:rtl/>
        </w:rPr>
        <w:t>שישה</w:t>
      </w:r>
      <w:r w:rsidRPr="00446F2B">
        <w:rPr>
          <w:rtl/>
        </w:rPr>
        <w:t xml:space="preserve"> </w:t>
      </w:r>
      <w:r w:rsidRPr="00446F2B">
        <w:rPr>
          <w:rFonts w:hint="eastAsia"/>
          <w:rtl/>
        </w:rPr>
        <w:t>חודשים</w:t>
      </w:r>
      <w:r>
        <w:rPr>
          <w:rFonts w:hint="cs"/>
          <w:rtl/>
        </w:rPr>
        <w:t>".</w:t>
      </w:r>
      <w:proofErr w:type="gramEnd"/>
    </w:p>
    <w:p w14:paraId="6B6F30F2" w14:textId="77777777" w:rsidR="006A687A" w:rsidRPr="00385F59" w:rsidRDefault="006A687A" w:rsidP="006A687A">
      <w:pPr>
        <w:pStyle w:val="Ruller41"/>
        <w:rPr>
          <w:rtl/>
        </w:rPr>
      </w:pPr>
    </w:p>
    <w:p w14:paraId="23B5B145" w14:textId="67941B4B" w:rsidR="006A687A" w:rsidRDefault="006A687A" w:rsidP="000F30DA">
      <w:pPr>
        <w:pStyle w:val="Ruller41"/>
        <w:rPr>
          <w:rtl/>
        </w:rPr>
      </w:pPr>
      <w:r>
        <w:rPr>
          <w:rFonts w:hint="cs"/>
          <w:rtl/>
        </w:rPr>
        <w:t>9.</w:t>
      </w:r>
      <w:r>
        <w:rPr>
          <w:rFonts w:hint="cs"/>
          <w:rtl/>
        </w:rPr>
        <w:tab/>
        <w:t xml:space="preserve">אם כן, בעת שמתעורר אצל עובד סוציאלי במסגרת תפקידו יסוד סביר לחשוד כי נעברה עבירה בקטין או חסר ישע בידי מי שאחראי עליו, או שנעברה באחד מאלה עבירת מין בידי בן משפחה שטרם מלאו לו 18 שנים </w:t>
      </w:r>
      <w:r>
        <w:rPr>
          <w:rtl/>
        </w:rPr>
        <w:t>–</w:t>
      </w:r>
      <w:r>
        <w:rPr>
          <w:rFonts w:hint="cs"/>
          <w:rtl/>
        </w:rPr>
        <w:t xml:space="preserve"> מוטלת עליו חובה אישית מכוח הדין לדווח על כך למשטרה או לעובד סוציאלי שמונה על-ידי שר העבודה, הרווחה </w:t>
      </w:r>
      <w:r>
        <w:rPr>
          <w:rFonts w:hint="cs"/>
          <w:rtl/>
        </w:rPr>
        <w:lastRenderedPageBreak/>
        <w:t xml:space="preserve">והשירותים החברתיים, </w:t>
      </w:r>
      <w:r w:rsidR="000F30DA">
        <w:rPr>
          <w:rFonts w:hint="cs"/>
          <w:rtl/>
        </w:rPr>
        <w:t>על-</w:t>
      </w:r>
      <w:r>
        <w:rPr>
          <w:rFonts w:hint="cs"/>
          <w:rtl/>
        </w:rPr>
        <w:t xml:space="preserve">פי אחד החיקוקים המנויים בסעיף 368א לחוק העונשין (להלן: </w:t>
      </w:r>
      <w:r w:rsidRPr="0068158A">
        <w:rPr>
          <w:rFonts w:ascii="Century" w:hAnsi="Century" w:cs="Miriam" w:hint="cs"/>
          <w:b/>
          <w:spacing w:val="0"/>
          <w:szCs w:val="24"/>
          <w:rtl/>
        </w:rPr>
        <w:t xml:space="preserve">עובד סוציאלי שמונה </w:t>
      </w:r>
      <w:r>
        <w:rPr>
          <w:rFonts w:ascii="Century" w:hAnsi="Century" w:cs="Miriam" w:hint="cs"/>
          <w:b/>
          <w:spacing w:val="0"/>
          <w:szCs w:val="24"/>
          <w:rtl/>
        </w:rPr>
        <w:t xml:space="preserve">לפי </w:t>
      </w:r>
      <w:r w:rsidRPr="0068158A">
        <w:rPr>
          <w:rFonts w:ascii="Century" w:hAnsi="Century" w:cs="Miriam" w:hint="cs"/>
          <w:b/>
          <w:spacing w:val="0"/>
          <w:szCs w:val="24"/>
          <w:rtl/>
        </w:rPr>
        <w:t>חוק</w:t>
      </w:r>
      <w:r>
        <w:rPr>
          <w:rFonts w:hint="cs"/>
          <w:rtl/>
        </w:rPr>
        <w:t xml:space="preserve">), כדוגמת חוק גיל הנישואין, התש"י-1950, חוק הסעד (סדרי דין </w:t>
      </w:r>
      <w:proofErr w:type="spellStart"/>
      <w:r>
        <w:rPr>
          <w:rFonts w:hint="cs"/>
          <w:rtl/>
        </w:rPr>
        <w:t>בעניני</w:t>
      </w:r>
      <w:proofErr w:type="spellEnd"/>
      <w:r>
        <w:rPr>
          <w:rFonts w:hint="cs"/>
          <w:rtl/>
        </w:rPr>
        <w:t xml:space="preserve"> קטינים, חולי נפש ונעדרים), התשט"ו-1955, ח</w:t>
      </w:r>
      <w:r w:rsidRPr="005E19EF">
        <w:rPr>
          <w:rFonts w:hint="eastAsia"/>
          <w:rtl/>
        </w:rPr>
        <w:t>וק</w:t>
      </w:r>
      <w:r w:rsidRPr="005E19EF">
        <w:rPr>
          <w:rtl/>
        </w:rPr>
        <w:t xml:space="preserve"> </w:t>
      </w:r>
      <w:r w:rsidRPr="005E19EF">
        <w:rPr>
          <w:rFonts w:hint="eastAsia"/>
          <w:rtl/>
        </w:rPr>
        <w:t>הנוער</w:t>
      </w:r>
      <w:r>
        <w:rPr>
          <w:rFonts w:hint="cs"/>
          <w:rtl/>
        </w:rPr>
        <w:t xml:space="preserve"> (טיפול והשגחה), ו</w:t>
      </w:r>
      <w:r w:rsidRPr="005E19EF">
        <w:rPr>
          <w:rFonts w:hint="eastAsia"/>
          <w:rtl/>
        </w:rPr>
        <w:t>חוק</w:t>
      </w:r>
      <w:r w:rsidRPr="005E19EF">
        <w:rPr>
          <w:rtl/>
        </w:rPr>
        <w:t xml:space="preserve"> </w:t>
      </w:r>
      <w:r w:rsidRPr="005E19EF">
        <w:rPr>
          <w:rFonts w:hint="eastAsia"/>
          <w:rtl/>
        </w:rPr>
        <w:t>הסעד</w:t>
      </w:r>
      <w:r w:rsidRPr="005E19EF">
        <w:rPr>
          <w:rtl/>
        </w:rPr>
        <w:t xml:space="preserve"> (טיפול </w:t>
      </w:r>
      <w:r w:rsidRPr="005E19EF">
        <w:rPr>
          <w:rFonts w:hint="eastAsia"/>
          <w:rtl/>
        </w:rPr>
        <w:t>באנשים</w:t>
      </w:r>
      <w:r w:rsidRPr="005E19EF">
        <w:rPr>
          <w:rtl/>
        </w:rPr>
        <w:t xml:space="preserve"> </w:t>
      </w:r>
      <w:r w:rsidRPr="005E19EF">
        <w:rPr>
          <w:rFonts w:hint="eastAsia"/>
          <w:rtl/>
        </w:rPr>
        <w:t>עם</w:t>
      </w:r>
      <w:r w:rsidRPr="005E19EF">
        <w:rPr>
          <w:rtl/>
        </w:rPr>
        <w:t xml:space="preserve"> </w:t>
      </w:r>
      <w:r w:rsidRPr="005E19EF">
        <w:rPr>
          <w:rFonts w:hint="eastAsia"/>
          <w:rtl/>
        </w:rPr>
        <w:t>מוגבלות</w:t>
      </w:r>
      <w:r w:rsidRPr="005E19EF">
        <w:rPr>
          <w:rtl/>
        </w:rPr>
        <w:t xml:space="preserve"> </w:t>
      </w:r>
      <w:r w:rsidRPr="005E19EF">
        <w:rPr>
          <w:rFonts w:hint="eastAsia"/>
          <w:rtl/>
        </w:rPr>
        <w:t>שכלית</w:t>
      </w:r>
      <w:r w:rsidRPr="005E19EF">
        <w:rPr>
          <w:rtl/>
        </w:rPr>
        <w:t xml:space="preserve">-התפתחותית), </w:t>
      </w:r>
      <w:r w:rsidRPr="005E19EF">
        <w:rPr>
          <w:rFonts w:hint="eastAsia"/>
          <w:rtl/>
        </w:rPr>
        <w:t>התשכ</w:t>
      </w:r>
      <w:r w:rsidRPr="005E19EF">
        <w:rPr>
          <w:rtl/>
        </w:rPr>
        <w:t>"</w:t>
      </w:r>
      <w:r>
        <w:rPr>
          <w:rFonts w:hint="cs"/>
          <w:rtl/>
        </w:rPr>
        <w:t>ט-1969.</w:t>
      </w:r>
    </w:p>
    <w:p w14:paraId="0C5E7990" w14:textId="77777777" w:rsidR="006A687A" w:rsidRDefault="006A687A" w:rsidP="006A687A">
      <w:pPr>
        <w:pStyle w:val="Ruller41"/>
        <w:rPr>
          <w:rtl/>
        </w:rPr>
      </w:pPr>
    </w:p>
    <w:p w14:paraId="1F6A4675" w14:textId="015A796E" w:rsidR="006A687A" w:rsidRDefault="006A687A" w:rsidP="00E257F1">
      <w:pPr>
        <w:pStyle w:val="Ruller41"/>
        <w:rPr>
          <w:rtl/>
        </w:rPr>
      </w:pPr>
      <w:r>
        <w:rPr>
          <w:rFonts w:hint="cs"/>
          <w:rtl/>
        </w:rPr>
        <w:t>10.</w:t>
      </w:r>
      <w:r>
        <w:rPr>
          <w:rFonts w:hint="cs"/>
          <w:rtl/>
        </w:rPr>
        <w:tab/>
        <w:t>להשלמת התמונה, יצוין כי חלופות נוספות המוסדרות בסעיף 368ד לחוק העונשין נוגעות לחובות הדיווח החלות על מי שהינו אחראי על קטין או חסר ישע (סעיפים 368ד(ג) ו-368ד(ג3) לחוק</w:t>
      </w:r>
      <w:r w:rsidR="00FE3EDC">
        <w:rPr>
          <w:rFonts w:hint="cs"/>
          <w:rtl/>
        </w:rPr>
        <w:t xml:space="preserve"> העונשין</w:t>
      </w:r>
      <w:r>
        <w:rPr>
          <w:rFonts w:hint="cs"/>
          <w:rtl/>
        </w:rPr>
        <w:t xml:space="preserve">) ועל מנהל או איש צוות במסגרת טיפולית או חינוכית (סעיף 368ד(ד) לחוק העונשין), שאף בצדן נקבע עונש מאסר של ששה חודשים. </w:t>
      </w:r>
    </w:p>
    <w:p w14:paraId="4B1DB25F" w14:textId="77777777" w:rsidR="006A687A" w:rsidRDefault="006A687A" w:rsidP="006A687A">
      <w:pPr>
        <w:pStyle w:val="Ruller41"/>
        <w:rPr>
          <w:rtl/>
        </w:rPr>
      </w:pPr>
    </w:p>
    <w:p w14:paraId="4D50C55F" w14:textId="7BDF917F" w:rsidR="006A687A" w:rsidRDefault="006A687A" w:rsidP="00E46046">
      <w:pPr>
        <w:pStyle w:val="Ruller41"/>
        <w:rPr>
          <w:rtl/>
        </w:rPr>
      </w:pPr>
      <w:r>
        <w:rPr>
          <w:rFonts w:hint="cs"/>
          <w:rtl/>
        </w:rPr>
        <w:t xml:space="preserve">11. </w:t>
      </w:r>
      <w:r>
        <w:rPr>
          <w:rtl/>
        </w:rPr>
        <w:tab/>
      </w:r>
      <w:r>
        <w:rPr>
          <w:rFonts w:hint="cs"/>
          <w:rtl/>
        </w:rPr>
        <w:t>חובות אלה נוספות על חובת הדיווח החלה על כל אדם (סעיפים 368ד(א) ו-368ד(ג1) לחוק העונשין) שבצדה נקבע עונש מאסר של שלושה חודשים. יש לציין כי חובת הדיווח החלה על כל אדם היא מצומצמת יותר, וקמה רק בנסיבות בהן יש יסוד סביר לכך שנעברה עבירה "</w:t>
      </w:r>
      <w:r w:rsidRPr="00BD1C3B">
        <w:rPr>
          <w:rFonts w:ascii="Century" w:hAnsi="Century" w:cs="Miriam" w:hint="eastAsia"/>
          <w:b/>
          <w:spacing w:val="0"/>
          <w:szCs w:val="24"/>
          <w:rtl/>
        </w:rPr>
        <w:t>זה</w:t>
      </w:r>
      <w:r w:rsidRPr="00BD1C3B">
        <w:rPr>
          <w:rFonts w:ascii="Century" w:hAnsi="Century" w:cs="Miriam"/>
          <w:b/>
          <w:spacing w:val="0"/>
          <w:szCs w:val="24"/>
          <w:rtl/>
        </w:rPr>
        <w:t xml:space="preserve"> </w:t>
      </w:r>
      <w:r>
        <w:rPr>
          <w:rFonts w:ascii="Century" w:hAnsi="Century" w:cs="Miriam" w:hint="cs"/>
          <w:b/>
          <w:spacing w:val="0"/>
          <w:szCs w:val="24"/>
          <w:rtl/>
        </w:rPr>
        <w:t>מקרוב</w:t>
      </w:r>
      <w:r>
        <w:rPr>
          <w:rFonts w:hint="cs"/>
          <w:rtl/>
        </w:rPr>
        <w:t xml:space="preserve">" בקטין או בחסר הישע (ראו עוד: </w:t>
      </w:r>
      <w:r w:rsidRPr="00414582">
        <w:rPr>
          <w:rFonts w:hint="eastAsia"/>
          <w:rtl/>
        </w:rPr>
        <w:t>בנימין</w:t>
      </w:r>
      <w:r w:rsidRPr="00414582">
        <w:rPr>
          <w:rtl/>
        </w:rPr>
        <w:t xml:space="preserve"> </w:t>
      </w:r>
      <w:r w:rsidRPr="00414582">
        <w:rPr>
          <w:rFonts w:hint="eastAsia"/>
          <w:rtl/>
        </w:rPr>
        <w:t>שמואלי</w:t>
      </w:r>
      <w:r w:rsidRPr="00414582">
        <w:rPr>
          <w:rtl/>
        </w:rPr>
        <w:t xml:space="preserve"> </w:t>
      </w:r>
      <w:r>
        <w:rPr>
          <w:rFonts w:hint="cs"/>
          <w:rtl/>
        </w:rPr>
        <w:t>"</w:t>
      </w:r>
      <w:r w:rsidRPr="00414582">
        <w:rPr>
          <w:rFonts w:hint="eastAsia"/>
          <w:rtl/>
        </w:rPr>
        <w:t>הדיווח</w:t>
      </w:r>
      <w:r w:rsidRPr="00414582">
        <w:rPr>
          <w:rtl/>
        </w:rPr>
        <w:t xml:space="preserve"> </w:t>
      </w:r>
      <w:r w:rsidRPr="00414582">
        <w:rPr>
          <w:rFonts w:hint="eastAsia"/>
          <w:rtl/>
        </w:rPr>
        <w:t>על</w:t>
      </w:r>
      <w:r w:rsidRPr="00414582">
        <w:rPr>
          <w:rtl/>
        </w:rPr>
        <w:t xml:space="preserve"> </w:t>
      </w:r>
      <w:r>
        <w:rPr>
          <w:rFonts w:hint="cs"/>
          <w:rtl/>
        </w:rPr>
        <w:t>אל</w:t>
      </w:r>
      <w:r w:rsidRPr="00414582">
        <w:rPr>
          <w:rFonts w:hint="eastAsia"/>
          <w:rtl/>
        </w:rPr>
        <w:t>ימות</w:t>
      </w:r>
      <w:r w:rsidRPr="00414582">
        <w:rPr>
          <w:rtl/>
        </w:rPr>
        <w:t xml:space="preserve"> </w:t>
      </w:r>
      <w:r w:rsidRPr="00414582">
        <w:rPr>
          <w:rFonts w:hint="eastAsia"/>
          <w:rtl/>
        </w:rPr>
        <w:t>כלפי</w:t>
      </w:r>
      <w:r w:rsidRPr="00414582">
        <w:rPr>
          <w:rtl/>
        </w:rPr>
        <w:t xml:space="preserve"> </w:t>
      </w:r>
      <w:r w:rsidRPr="00414582">
        <w:rPr>
          <w:rFonts w:hint="eastAsia"/>
          <w:rtl/>
        </w:rPr>
        <w:t>ילדים</w:t>
      </w:r>
      <w:r w:rsidRPr="00414582">
        <w:rPr>
          <w:rtl/>
        </w:rPr>
        <w:t xml:space="preserve"> </w:t>
      </w:r>
      <w:r w:rsidRPr="00414582">
        <w:rPr>
          <w:rFonts w:hint="eastAsia"/>
          <w:rtl/>
        </w:rPr>
        <w:t>על</w:t>
      </w:r>
      <w:r w:rsidRPr="00414582">
        <w:rPr>
          <w:rtl/>
        </w:rPr>
        <w:t>-</w:t>
      </w:r>
      <w:r w:rsidRPr="00414582">
        <w:rPr>
          <w:rFonts w:hint="eastAsia"/>
          <w:rtl/>
        </w:rPr>
        <w:t>פי</w:t>
      </w:r>
      <w:r w:rsidRPr="00414582">
        <w:rPr>
          <w:rtl/>
        </w:rPr>
        <w:t xml:space="preserve"> </w:t>
      </w:r>
      <w:r w:rsidRPr="00414582">
        <w:rPr>
          <w:rFonts w:hint="eastAsia"/>
          <w:rtl/>
        </w:rPr>
        <w:t>המשפט</w:t>
      </w:r>
      <w:r w:rsidRPr="00414582">
        <w:rPr>
          <w:rtl/>
        </w:rPr>
        <w:t xml:space="preserve"> </w:t>
      </w:r>
      <w:r w:rsidRPr="00414582">
        <w:rPr>
          <w:rFonts w:hint="eastAsia"/>
          <w:rtl/>
        </w:rPr>
        <w:t>העברי</w:t>
      </w:r>
      <w:r w:rsidRPr="00414582">
        <w:rPr>
          <w:rtl/>
        </w:rPr>
        <w:t xml:space="preserve"> </w:t>
      </w:r>
      <w:r w:rsidRPr="00414582">
        <w:rPr>
          <w:rFonts w:hint="eastAsia"/>
          <w:rtl/>
        </w:rPr>
        <w:t>ובהשוואה</w:t>
      </w:r>
      <w:r w:rsidRPr="00414582">
        <w:rPr>
          <w:rtl/>
        </w:rPr>
        <w:t xml:space="preserve"> </w:t>
      </w:r>
      <w:r w:rsidRPr="00414582">
        <w:rPr>
          <w:rFonts w:hint="eastAsia"/>
          <w:rtl/>
        </w:rPr>
        <w:t>למשפט</w:t>
      </w:r>
      <w:r w:rsidRPr="00414582">
        <w:rPr>
          <w:rtl/>
        </w:rPr>
        <w:t xml:space="preserve"> </w:t>
      </w:r>
      <w:r w:rsidRPr="00414582">
        <w:rPr>
          <w:rFonts w:hint="eastAsia"/>
          <w:rtl/>
        </w:rPr>
        <w:t>הישראלי</w:t>
      </w:r>
      <w:r>
        <w:rPr>
          <w:rFonts w:hint="cs"/>
          <w:rtl/>
        </w:rPr>
        <w:t>"</w:t>
      </w:r>
      <w:r w:rsidRPr="00414582">
        <w:rPr>
          <w:rtl/>
        </w:rPr>
        <w:t xml:space="preserve"> </w:t>
      </w:r>
      <w:r w:rsidRPr="00BD1C3B">
        <w:rPr>
          <w:rFonts w:ascii="Century" w:hAnsi="Century" w:cs="Miriam" w:hint="eastAsia"/>
          <w:b/>
          <w:spacing w:val="0"/>
          <w:szCs w:val="24"/>
          <w:rtl/>
        </w:rPr>
        <w:t>משפחה</w:t>
      </w:r>
      <w:r w:rsidRPr="00BD1C3B">
        <w:rPr>
          <w:rFonts w:ascii="Century" w:hAnsi="Century" w:cs="Miriam"/>
          <w:b/>
          <w:spacing w:val="0"/>
          <w:szCs w:val="24"/>
          <w:rtl/>
        </w:rPr>
        <w:t xml:space="preserve"> </w:t>
      </w:r>
      <w:r w:rsidRPr="00BD1C3B">
        <w:rPr>
          <w:rFonts w:ascii="Century" w:hAnsi="Century" w:cs="Miriam" w:hint="eastAsia"/>
          <w:b/>
          <w:spacing w:val="0"/>
          <w:szCs w:val="24"/>
          <w:rtl/>
        </w:rPr>
        <w:t>במשפט</w:t>
      </w:r>
      <w:r w:rsidRPr="00414582">
        <w:rPr>
          <w:rtl/>
        </w:rPr>
        <w:t xml:space="preserve"> </w:t>
      </w:r>
      <w:r w:rsidRPr="00414582">
        <w:rPr>
          <w:rFonts w:hint="eastAsia"/>
          <w:rtl/>
        </w:rPr>
        <w:t>ג</w:t>
      </w:r>
      <w:r w:rsidRPr="00414582">
        <w:rPr>
          <w:rtl/>
        </w:rPr>
        <w:t>-</w:t>
      </w:r>
      <w:r w:rsidRPr="00414582">
        <w:rPr>
          <w:rFonts w:hint="eastAsia"/>
          <w:rtl/>
        </w:rPr>
        <w:t>ד</w:t>
      </w:r>
      <w:r>
        <w:rPr>
          <w:rtl/>
        </w:rPr>
        <w:t xml:space="preserve"> </w:t>
      </w:r>
      <w:r w:rsidRPr="00414582">
        <w:rPr>
          <w:rtl/>
        </w:rPr>
        <w:t>279, 286-282 (</w:t>
      </w:r>
      <w:r>
        <w:rPr>
          <w:rFonts w:hint="cs"/>
          <w:rtl/>
        </w:rPr>
        <w:t>2010-2009</w:t>
      </w:r>
      <w:r w:rsidRPr="00414582">
        <w:rPr>
          <w:rtl/>
        </w:rPr>
        <w:t>)</w:t>
      </w:r>
      <w:r>
        <w:rPr>
          <w:rFonts w:hint="cs"/>
          <w:rtl/>
        </w:rPr>
        <w:t xml:space="preserve">; </w:t>
      </w:r>
      <w:r w:rsidRPr="00BB7675">
        <w:rPr>
          <w:rFonts w:hint="eastAsia"/>
          <w:rtl/>
        </w:rPr>
        <w:t>יוסי</w:t>
      </w:r>
      <w:r w:rsidRPr="00BB7675">
        <w:rPr>
          <w:rtl/>
        </w:rPr>
        <w:t xml:space="preserve"> </w:t>
      </w:r>
      <w:r w:rsidRPr="00BB7675">
        <w:rPr>
          <w:rFonts w:hint="eastAsia"/>
          <w:rtl/>
        </w:rPr>
        <w:t>גרין</w:t>
      </w:r>
      <w:r w:rsidRPr="00BB7675">
        <w:rPr>
          <w:rtl/>
        </w:rPr>
        <w:t xml:space="preserve"> </w:t>
      </w:r>
      <w:r w:rsidRPr="005E19EF">
        <w:rPr>
          <w:rFonts w:ascii="Century" w:hAnsi="Century" w:cs="Miriam" w:hint="eastAsia"/>
          <w:b/>
          <w:spacing w:val="0"/>
          <w:szCs w:val="24"/>
          <w:rtl/>
        </w:rPr>
        <w:t>דיני</w:t>
      </w:r>
      <w:r w:rsidRPr="005E19EF">
        <w:rPr>
          <w:rFonts w:ascii="Century" w:hAnsi="Century" w:cs="Miriam"/>
          <w:b/>
          <w:spacing w:val="0"/>
          <w:szCs w:val="24"/>
          <w:rtl/>
        </w:rPr>
        <w:t xml:space="preserve"> </w:t>
      </w:r>
      <w:r w:rsidRPr="005E19EF">
        <w:rPr>
          <w:rFonts w:ascii="Century" w:hAnsi="Century" w:cs="Miriam" w:hint="eastAsia"/>
          <w:b/>
          <w:spacing w:val="0"/>
          <w:szCs w:val="24"/>
          <w:rtl/>
        </w:rPr>
        <w:t>חינוך</w:t>
      </w:r>
      <w:r w:rsidR="00E46046">
        <w:rPr>
          <w:rFonts w:ascii="Century" w:hAnsi="Century" w:cs="Miriam" w:hint="cs"/>
          <w:b/>
          <w:spacing w:val="0"/>
          <w:szCs w:val="24"/>
          <w:rtl/>
        </w:rPr>
        <w:t xml:space="preserve"> </w:t>
      </w:r>
      <w:r w:rsidR="00E46046">
        <w:rPr>
          <w:rFonts w:ascii="Century" w:hAnsi="Century" w:cs="Miriam"/>
          <w:b/>
          <w:spacing w:val="0"/>
          <w:szCs w:val="24"/>
          <w:rtl/>
        </w:rPr>
        <w:t>–</w:t>
      </w:r>
      <w:r w:rsidRPr="005E19EF">
        <w:rPr>
          <w:rFonts w:ascii="Century" w:hAnsi="Century" w:cs="Miriam"/>
          <w:b/>
          <w:spacing w:val="0"/>
          <w:szCs w:val="24"/>
          <w:rtl/>
        </w:rPr>
        <w:t xml:space="preserve"> </w:t>
      </w:r>
      <w:r w:rsidRPr="005E19EF">
        <w:rPr>
          <w:rFonts w:ascii="Century" w:hAnsi="Century" w:cs="Miriam" w:hint="eastAsia"/>
          <w:b/>
          <w:spacing w:val="0"/>
          <w:szCs w:val="24"/>
          <w:rtl/>
        </w:rPr>
        <w:t>יחסי</w:t>
      </w:r>
      <w:r w:rsidRPr="005E19EF">
        <w:rPr>
          <w:rFonts w:ascii="Century" w:hAnsi="Century" w:cs="Miriam"/>
          <w:b/>
          <w:spacing w:val="0"/>
          <w:szCs w:val="24"/>
          <w:rtl/>
        </w:rPr>
        <w:t xml:space="preserve"> </w:t>
      </w:r>
      <w:r w:rsidRPr="005E19EF">
        <w:rPr>
          <w:rFonts w:ascii="Century" w:hAnsi="Century" w:cs="Miriam" w:hint="eastAsia"/>
          <w:b/>
          <w:spacing w:val="0"/>
          <w:szCs w:val="24"/>
          <w:rtl/>
        </w:rPr>
        <w:t>הורים</w:t>
      </w:r>
      <w:r w:rsidRPr="005E19EF">
        <w:rPr>
          <w:rFonts w:ascii="Century" w:hAnsi="Century" w:cs="Miriam"/>
          <w:b/>
          <w:spacing w:val="0"/>
          <w:szCs w:val="24"/>
          <w:rtl/>
        </w:rPr>
        <w:t xml:space="preserve">, </w:t>
      </w:r>
      <w:r w:rsidRPr="005E19EF">
        <w:rPr>
          <w:rFonts w:ascii="Century" w:hAnsi="Century" w:cs="Miriam" w:hint="eastAsia"/>
          <w:b/>
          <w:spacing w:val="0"/>
          <w:szCs w:val="24"/>
          <w:rtl/>
        </w:rPr>
        <w:t>ילדים</w:t>
      </w:r>
      <w:r w:rsidRPr="005E19EF">
        <w:rPr>
          <w:rFonts w:ascii="Century" w:hAnsi="Century" w:cs="Miriam"/>
          <w:b/>
          <w:spacing w:val="0"/>
          <w:szCs w:val="24"/>
          <w:rtl/>
        </w:rPr>
        <w:t xml:space="preserve"> </w:t>
      </w:r>
      <w:r w:rsidRPr="005E19EF">
        <w:rPr>
          <w:rFonts w:ascii="Century" w:hAnsi="Century" w:cs="Miriam" w:hint="eastAsia"/>
          <w:b/>
          <w:spacing w:val="0"/>
          <w:szCs w:val="24"/>
          <w:rtl/>
        </w:rPr>
        <w:t>ועובדי</w:t>
      </w:r>
      <w:r w:rsidRPr="005E19EF">
        <w:rPr>
          <w:rFonts w:ascii="Century" w:hAnsi="Century" w:cs="Miriam"/>
          <w:b/>
          <w:spacing w:val="0"/>
          <w:szCs w:val="24"/>
          <w:rtl/>
        </w:rPr>
        <w:t xml:space="preserve"> </w:t>
      </w:r>
      <w:r w:rsidRPr="005E19EF">
        <w:rPr>
          <w:rFonts w:ascii="Century" w:hAnsi="Century" w:cs="Miriam" w:hint="eastAsia"/>
          <w:b/>
          <w:spacing w:val="0"/>
          <w:szCs w:val="24"/>
          <w:rtl/>
        </w:rPr>
        <w:t>הוראה</w:t>
      </w:r>
      <w:r w:rsidRPr="00BB7675">
        <w:rPr>
          <w:rtl/>
        </w:rPr>
        <w:t>, 151-149</w:t>
      </w:r>
      <w:r>
        <w:rPr>
          <w:rFonts w:hint="cs"/>
          <w:rtl/>
        </w:rPr>
        <w:t xml:space="preserve"> </w:t>
      </w:r>
      <w:r w:rsidRPr="00BB7675">
        <w:rPr>
          <w:rtl/>
        </w:rPr>
        <w:t>(2010)</w:t>
      </w:r>
      <w:r>
        <w:rPr>
          <w:rFonts w:hint="cs"/>
          <w:rtl/>
        </w:rPr>
        <w:t xml:space="preserve"> (להלן: </w:t>
      </w:r>
      <w:r w:rsidRPr="005E19EF">
        <w:rPr>
          <w:rFonts w:ascii="Century" w:hAnsi="Century" w:cs="Miriam" w:hint="eastAsia"/>
          <w:b/>
          <w:spacing w:val="0"/>
          <w:szCs w:val="24"/>
          <w:rtl/>
        </w:rPr>
        <w:t>גרין</w:t>
      </w:r>
      <w:r>
        <w:rPr>
          <w:rFonts w:hint="cs"/>
          <w:rtl/>
        </w:rPr>
        <w:t xml:space="preserve">)). </w:t>
      </w:r>
    </w:p>
    <w:p w14:paraId="2EB0A5B4" w14:textId="77777777" w:rsidR="006A687A" w:rsidRDefault="006A687A" w:rsidP="006A687A">
      <w:pPr>
        <w:pStyle w:val="Ruller41"/>
        <w:rPr>
          <w:rtl/>
        </w:rPr>
      </w:pPr>
    </w:p>
    <w:p w14:paraId="49D1BC36" w14:textId="77777777" w:rsidR="006A687A" w:rsidRDefault="006A687A" w:rsidP="006A687A">
      <w:pPr>
        <w:pStyle w:val="Ruller41"/>
        <w:rPr>
          <w:rtl/>
        </w:rPr>
      </w:pPr>
      <w:r>
        <w:rPr>
          <w:rFonts w:hint="cs"/>
          <w:rtl/>
        </w:rPr>
        <w:t>12.</w:t>
      </w:r>
      <w:r>
        <w:rPr>
          <w:rFonts w:hint="cs"/>
          <w:rtl/>
        </w:rPr>
        <w:tab/>
        <w:t xml:space="preserve">עוד יוזכרו גם סעיפים 368ד(ו) ו-368ד(ז) לחוק העונשין, המסדירים את אופן הטיפול בדיווח כאמור מעת שהובא בפני הגורמים המוסמכים. כך, סעיף 368ד(ו) לחוק העונשין מורה כי עובד סוציאלי שמונה לפי חוק וקיבל דיווח לפי סעיף 368ד, יעבירו למשטרה בצירוף המלצתו לפעול או להימנע מלפעול בעניין. זאת, אלא אם קיבל אישור שלא לעשות כן מאחת הוועדות שהקים שר המשפטים לצורך עניין זה, הפועלות ליד </w:t>
      </w:r>
      <w:proofErr w:type="spellStart"/>
      <w:r>
        <w:rPr>
          <w:rFonts w:hint="cs"/>
          <w:color w:val="000000"/>
          <w:sz w:val="28"/>
          <w:rtl/>
        </w:rPr>
        <w:t>פרקליטויות</w:t>
      </w:r>
      <w:proofErr w:type="spellEnd"/>
      <w:r>
        <w:rPr>
          <w:rFonts w:hint="cs"/>
          <w:color w:val="000000"/>
          <w:sz w:val="28"/>
          <w:rtl/>
        </w:rPr>
        <w:t xml:space="preserve"> המחוז ברחבי הארץ </w:t>
      </w:r>
      <w:r>
        <w:rPr>
          <w:rFonts w:hint="cs"/>
          <w:rtl/>
        </w:rPr>
        <w:t xml:space="preserve">(להלן: </w:t>
      </w:r>
      <w:r w:rsidRPr="00BD1C3B">
        <w:rPr>
          <w:rFonts w:ascii="Century" w:hAnsi="Century" w:cs="Miriam" w:hint="eastAsia"/>
          <w:b/>
          <w:spacing w:val="0"/>
          <w:szCs w:val="24"/>
          <w:rtl/>
        </w:rPr>
        <w:t>ועדות</w:t>
      </w:r>
      <w:r w:rsidRPr="00BD1C3B">
        <w:rPr>
          <w:rFonts w:ascii="Century" w:hAnsi="Century" w:cs="Miriam"/>
          <w:b/>
          <w:spacing w:val="0"/>
          <w:szCs w:val="24"/>
          <w:rtl/>
        </w:rPr>
        <w:t xml:space="preserve"> הפטור </w:t>
      </w:r>
      <w:r w:rsidRPr="00067216">
        <w:rPr>
          <w:rFonts w:ascii="Century" w:hAnsi="Century" w:cs="Miriam" w:hint="cs"/>
          <w:b/>
          <w:spacing w:val="0"/>
          <w:szCs w:val="24"/>
          <w:rtl/>
        </w:rPr>
        <w:t>הסטטוטוריו</w:t>
      </w:r>
      <w:r w:rsidRPr="00067216">
        <w:rPr>
          <w:rFonts w:ascii="Century" w:hAnsi="Century" w:cs="Miriam" w:hint="eastAsia"/>
          <w:b/>
          <w:spacing w:val="0"/>
          <w:szCs w:val="24"/>
          <w:rtl/>
        </w:rPr>
        <w:t>ת</w:t>
      </w:r>
      <w:r>
        <w:rPr>
          <w:rFonts w:hint="cs"/>
          <w:rtl/>
        </w:rPr>
        <w:t xml:space="preserve">). אותו סעיף מוסיף ומורה כי ועדות פטור אלו יכללו נציג מטעם פרקליט המחוז, אשר יהיה יושב ראש הוועדה, קצין משטרה בדרגת רב פקד ומעלה ועובד סוציאלי שמונה לפי חוק לאותו מחוז. מנגנון זה נועד להבטיח מחד גיסא טיפול נאות של רשויות הרווחה והמשטרה באירועים המעלים חשד לביצוע עבירה, ומאידך גיסא להותיר בידי רשויות הסעד מרווח של שיקול דעת מקצועי באשר להשלכותיה של הפנייה למשטרה (ראו: </w:t>
      </w:r>
      <w:r w:rsidRPr="00BB7675">
        <w:rPr>
          <w:rFonts w:hint="eastAsia"/>
          <w:rtl/>
        </w:rPr>
        <w:t>בג</w:t>
      </w:r>
      <w:r w:rsidRPr="00BB7675">
        <w:rPr>
          <w:rtl/>
        </w:rPr>
        <w:t>"</w:t>
      </w:r>
      <w:r w:rsidRPr="00BB7675">
        <w:rPr>
          <w:rFonts w:hint="eastAsia"/>
          <w:rtl/>
        </w:rPr>
        <w:t>ץ</w:t>
      </w:r>
      <w:r w:rsidRPr="00BB7675">
        <w:rPr>
          <w:rtl/>
        </w:rPr>
        <w:t xml:space="preserve"> 7374/01 </w:t>
      </w:r>
      <w:r w:rsidRPr="00C47E13">
        <w:rPr>
          <w:rFonts w:ascii="Century" w:hAnsi="Century" w:cs="Miriam" w:hint="eastAsia"/>
          <w:b/>
          <w:spacing w:val="0"/>
          <w:szCs w:val="24"/>
          <w:rtl/>
        </w:rPr>
        <w:t>פלונים</w:t>
      </w:r>
      <w:r w:rsidRPr="00C47E13">
        <w:rPr>
          <w:rFonts w:ascii="Century" w:hAnsi="Century" w:cs="Miriam"/>
          <w:b/>
          <w:spacing w:val="0"/>
          <w:szCs w:val="24"/>
          <w:rtl/>
        </w:rPr>
        <w:t xml:space="preserve"> </w:t>
      </w:r>
      <w:r w:rsidRPr="00C47E13">
        <w:rPr>
          <w:rFonts w:ascii="Century" w:hAnsi="Century" w:cs="Miriam" w:hint="eastAsia"/>
          <w:b/>
          <w:spacing w:val="0"/>
          <w:szCs w:val="24"/>
          <w:rtl/>
        </w:rPr>
        <w:t>נ</w:t>
      </w:r>
      <w:r w:rsidRPr="00C47E13">
        <w:rPr>
          <w:rFonts w:ascii="Century" w:hAnsi="Century" w:cs="Miriam"/>
          <w:b/>
          <w:spacing w:val="0"/>
          <w:szCs w:val="24"/>
          <w:rtl/>
        </w:rPr>
        <w:t xml:space="preserve">' </w:t>
      </w:r>
      <w:r w:rsidRPr="00C47E13">
        <w:rPr>
          <w:rFonts w:ascii="Century" w:hAnsi="Century" w:cs="Miriam" w:hint="eastAsia"/>
          <w:b/>
          <w:spacing w:val="0"/>
          <w:szCs w:val="24"/>
          <w:rtl/>
        </w:rPr>
        <w:t>מנכ</w:t>
      </w:r>
      <w:r w:rsidRPr="00C47E13">
        <w:rPr>
          <w:rFonts w:ascii="Century" w:hAnsi="Century" w:cs="Miriam"/>
          <w:b/>
          <w:spacing w:val="0"/>
          <w:szCs w:val="24"/>
          <w:rtl/>
        </w:rPr>
        <w:t>"</w:t>
      </w:r>
      <w:r w:rsidRPr="00C47E13">
        <w:rPr>
          <w:rFonts w:ascii="Century" w:hAnsi="Century" w:cs="Miriam" w:hint="eastAsia"/>
          <w:b/>
          <w:spacing w:val="0"/>
          <w:szCs w:val="24"/>
          <w:rtl/>
        </w:rPr>
        <w:t>לית</w:t>
      </w:r>
      <w:r w:rsidRPr="00C47E13">
        <w:rPr>
          <w:rFonts w:ascii="Century" w:hAnsi="Century" w:cs="Miriam"/>
          <w:b/>
          <w:spacing w:val="0"/>
          <w:szCs w:val="24"/>
          <w:rtl/>
        </w:rPr>
        <w:t xml:space="preserve"> </w:t>
      </w:r>
      <w:r w:rsidRPr="00C47E13">
        <w:rPr>
          <w:rFonts w:ascii="Century" w:hAnsi="Century" w:cs="Miriam" w:hint="eastAsia"/>
          <w:b/>
          <w:spacing w:val="0"/>
          <w:szCs w:val="24"/>
          <w:rtl/>
        </w:rPr>
        <w:t>משרד</w:t>
      </w:r>
      <w:r w:rsidRPr="00C47E13">
        <w:rPr>
          <w:rFonts w:ascii="Century" w:hAnsi="Century" w:cs="Miriam"/>
          <w:b/>
          <w:spacing w:val="0"/>
          <w:szCs w:val="24"/>
          <w:rtl/>
        </w:rPr>
        <w:t xml:space="preserve"> </w:t>
      </w:r>
      <w:r w:rsidRPr="00C47E13">
        <w:rPr>
          <w:rFonts w:ascii="Century" w:hAnsi="Century" w:cs="Miriam" w:hint="eastAsia"/>
          <w:b/>
          <w:spacing w:val="0"/>
          <w:szCs w:val="24"/>
          <w:rtl/>
        </w:rPr>
        <w:t>החינוך</w:t>
      </w:r>
      <w:r w:rsidRPr="00BB7675">
        <w:rPr>
          <w:rtl/>
        </w:rPr>
        <w:t xml:space="preserve">, </w:t>
      </w:r>
      <w:r w:rsidRPr="00BB7675">
        <w:rPr>
          <w:rFonts w:hint="eastAsia"/>
          <w:rtl/>
        </w:rPr>
        <w:t>פ</w:t>
      </w:r>
      <w:r w:rsidRPr="00BB7675">
        <w:rPr>
          <w:rtl/>
        </w:rPr>
        <w:t>"</w:t>
      </w:r>
      <w:r w:rsidRPr="00BB7675">
        <w:rPr>
          <w:rFonts w:hint="eastAsia"/>
          <w:rtl/>
        </w:rPr>
        <w:t>ד</w:t>
      </w:r>
      <w:r w:rsidRPr="00BB7675">
        <w:rPr>
          <w:rtl/>
        </w:rPr>
        <w:t xml:space="preserve"> </w:t>
      </w:r>
      <w:proofErr w:type="spellStart"/>
      <w:r w:rsidRPr="00BB7675">
        <w:rPr>
          <w:rFonts w:hint="eastAsia"/>
          <w:rtl/>
        </w:rPr>
        <w:t>נז</w:t>
      </w:r>
      <w:proofErr w:type="spellEnd"/>
      <w:r w:rsidRPr="00BB7675">
        <w:rPr>
          <w:rtl/>
        </w:rPr>
        <w:t>(6) 529, 541-540 (2003</w:t>
      </w:r>
      <w:r>
        <w:rPr>
          <w:rFonts w:hint="cs"/>
          <w:rtl/>
        </w:rPr>
        <w:t xml:space="preserve">) (להלן: </w:t>
      </w:r>
      <w:r w:rsidRPr="005E19EF">
        <w:rPr>
          <w:rFonts w:ascii="Century" w:hAnsi="Century" w:cs="Miriam" w:hint="cs"/>
          <w:b/>
          <w:spacing w:val="0"/>
          <w:szCs w:val="24"/>
          <w:rtl/>
        </w:rPr>
        <w:t>בג"ץ 7374/01</w:t>
      </w:r>
      <w:r>
        <w:rPr>
          <w:rFonts w:hint="cs"/>
          <w:rtl/>
        </w:rPr>
        <w:t xml:space="preserve">). להרחבה ראו גם: </w:t>
      </w:r>
      <w:r w:rsidRPr="008258A3">
        <w:rPr>
          <w:rFonts w:hint="eastAsia"/>
          <w:rtl/>
        </w:rPr>
        <w:t>דרורה</w:t>
      </w:r>
      <w:r w:rsidRPr="008258A3">
        <w:rPr>
          <w:rtl/>
        </w:rPr>
        <w:t xml:space="preserve"> </w:t>
      </w:r>
      <w:r w:rsidRPr="008258A3">
        <w:rPr>
          <w:rFonts w:hint="eastAsia"/>
          <w:rtl/>
        </w:rPr>
        <w:t>נחמני</w:t>
      </w:r>
      <w:r w:rsidRPr="008258A3">
        <w:rPr>
          <w:rtl/>
        </w:rPr>
        <w:t>-</w:t>
      </w:r>
      <w:r w:rsidRPr="008258A3">
        <w:rPr>
          <w:rFonts w:hint="eastAsia"/>
          <w:rtl/>
        </w:rPr>
        <w:t>רוט</w:t>
      </w:r>
      <w:r w:rsidRPr="008258A3">
        <w:rPr>
          <w:rtl/>
        </w:rPr>
        <w:t xml:space="preserve"> "</w:t>
      </w:r>
      <w:r w:rsidRPr="008258A3">
        <w:rPr>
          <w:rFonts w:hint="eastAsia"/>
          <w:rtl/>
        </w:rPr>
        <w:t>התנאים</w:t>
      </w:r>
      <w:r w:rsidRPr="008258A3">
        <w:rPr>
          <w:rtl/>
        </w:rPr>
        <w:t xml:space="preserve"> </w:t>
      </w:r>
      <w:r w:rsidRPr="008258A3">
        <w:rPr>
          <w:rFonts w:hint="eastAsia"/>
          <w:rtl/>
        </w:rPr>
        <w:t>לקבלת</w:t>
      </w:r>
      <w:r w:rsidRPr="008258A3">
        <w:rPr>
          <w:rtl/>
        </w:rPr>
        <w:t xml:space="preserve"> </w:t>
      </w:r>
      <w:r w:rsidRPr="008258A3">
        <w:rPr>
          <w:rFonts w:hint="eastAsia"/>
          <w:rtl/>
        </w:rPr>
        <w:t>פטור</w:t>
      </w:r>
      <w:r w:rsidRPr="008258A3">
        <w:rPr>
          <w:rtl/>
        </w:rPr>
        <w:t xml:space="preserve"> </w:t>
      </w:r>
      <w:r w:rsidRPr="008258A3">
        <w:rPr>
          <w:rFonts w:hint="eastAsia"/>
          <w:rtl/>
        </w:rPr>
        <w:t>לפקידי</w:t>
      </w:r>
      <w:r w:rsidRPr="008258A3">
        <w:rPr>
          <w:rtl/>
        </w:rPr>
        <w:t xml:space="preserve"> </w:t>
      </w:r>
      <w:r w:rsidRPr="008258A3">
        <w:rPr>
          <w:rFonts w:hint="eastAsia"/>
          <w:rtl/>
        </w:rPr>
        <w:t>סעד</w:t>
      </w:r>
      <w:r w:rsidRPr="008258A3">
        <w:rPr>
          <w:rtl/>
        </w:rPr>
        <w:t xml:space="preserve"> </w:t>
      </w:r>
      <w:r w:rsidRPr="008258A3">
        <w:rPr>
          <w:rFonts w:hint="eastAsia"/>
          <w:rtl/>
        </w:rPr>
        <w:t>מדיווח</w:t>
      </w:r>
      <w:r w:rsidRPr="008258A3">
        <w:rPr>
          <w:rtl/>
        </w:rPr>
        <w:t xml:space="preserve"> </w:t>
      </w:r>
      <w:r w:rsidRPr="008258A3">
        <w:rPr>
          <w:rFonts w:hint="eastAsia"/>
          <w:rtl/>
        </w:rPr>
        <w:t>למשטרה</w:t>
      </w:r>
      <w:r w:rsidRPr="008258A3">
        <w:rPr>
          <w:rtl/>
        </w:rPr>
        <w:t xml:space="preserve"> </w:t>
      </w:r>
      <w:r w:rsidRPr="008258A3">
        <w:rPr>
          <w:rFonts w:hint="eastAsia"/>
          <w:rtl/>
        </w:rPr>
        <w:t>על</w:t>
      </w:r>
      <w:r w:rsidRPr="008258A3">
        <w:rPr>
          <w:rtl/>
        </w:rPr>
        <w:t xml:space="preserve"> </w:t>
      </w:r>
      <w:r w:rsidRPr="008258A3">
        <w:rPr>
          <w:rFonts w:hint="eastAsia"/>
          <w:rtl/>
        </w:rPr>
        <w:t>עבירות</w:t>
      </w:r>
      <w:r w:rsidRPr="008258A3">
        <w:rPr>
          <w:rtl/>
        </w:rPr>
        <w:t xml:space="preserve"> </w:t>
      </w:r>
      <w:r w:rsidRPr="008258A3">
        <w:rPr>
          <w:rFonts w:hint="eastAsia"/>
          <w:rtl/>
        </w:rPr>
        <w:t>בילדים</w:t>
      </w:r>
      <w:r w:rsidRPr="008258A3">
        <w:rPr>
          <w:rtl/>
        </w:rPr>
        <w:t xml:space="preserve">" </w:t>
      </w:r>
      <w:r w:rsidRPr="00BD1C3B">
        <w:rPr>
          <w:rFonts w:ascii="Century" w:hAnsi="Century" w:cs="Miriam" w:hint="eastAsia"/>
          <w:b/>
          <w:spacing w:val="0"/>
          <w:szCs w:val="24"/>
          <w:rtl/>
        </w:rPr>
        <w:t>משפחה</w:t>
      </w:r>
      <w:r w:rsidRPr="00BD1C3B">
        <w:rPr>
          <w:rFonts w:ascii="Century" w:hAnsi="Century" w:cs="Miriam"/>
          <w:b/>
          <w:spacing w:val="0"/>
          <w:szCs w:val="24"/>
          <w:rtl/>
        </w:rPr>
        <w:t xml:space="preserve"> </w:t>
      </w:r>
      <w:r w:rsidRPr="00BD1C3B">
        <w:rPr>
          <w:rFonts w:ascii="Century" w:hAnsi="Century" w:cs="Miriam" w:hint="eastAsia"/>
          <w:b/>
          <w:spacing w:val="0"/>
          <w:szCs w:val="24"/>
          <w:rtl/>
        </w:rPr>
        <w:t>במשפט</w:t>
      </w:r>
      <w:r w:rsidRPr="008258A3">
        <w:rPr>
          <w:rtl/>
        </w:rPr>
        <w:t xml:space="preserve"> </w:t>
      </w:r>
      <w:r w:rsidRPr="008258A3">
        <w:rPr>
          <w:rFonts w:hint="eastAsia"/>
          <w:rtl/>
        </w:rPr>
        <w:t>ג</w:t>
      </w:r>
      <w:r w:rsidRPr="008258A3">
        <w:rPr>
          <w:rtl/>
        </w:rPr>
        <w:t>-</w:t>
      </w:r>
      <w:r w:rsidRPr="008258A3">
        <w:rPr>
          <w:rFonts w:hint="eastAsia"/>
          <w:rtl/>
        </w:rPr>
        <w:t>ד</w:t>
      </w:r>
      <w:r w:rsidRPr="008258A3">
        <w:rPr>
          <w:rtl/>
        </w:rPr>
        <w:t xml:space="preserve"> 379 (</w:t>
      </w:r>
      <w:r>
        <w:rPr>
          <w:rFonts w:hint="cs"/>
          <w:rtl/>
        </w:rPr>
        <w:t>2010-2009</w:t>
      </w:r>
      <w:r w:rsidRPr="008258A3">
        <w:rPr>
          <w:rtl/>
        </w:rPr>
        <w:t>)</w:t>
      </w:r>
      <w:r>
        <w:rPr>
          <w:rFonts w:hint="cs"/>
          <w:rtl/>
        </w:rPr>
        <w:t xml:space="preserve"> (להלן: </w:t>
      </w:r>
      <w:r w:rsidRPr="00686C81">
        <w:rPr>
          <w:rFonts w:ascii="Century" w:hAnsi="Century" w:cs="Miriam" w:hint="eastAsia"/>
          <w:b/>
          <w:spacing w:val="0"/>
          <w:szCs w:val="24"/>
          <w:rtl/>
        </w:rPr>
        <w:t>נחמני</w:t>
      </w:r>
      <w:r w:rsidRPr="00686C81">
        <w:rPr>
          <w:rFonts w:ascii="Century" w:hAnsi="Century" w:cs="Miriam"/>
          <w:b/>
          <w:spacing w:val="0"/>
          <w:szCs w:val="24"/>
          <w:rtl/>
        </w:rPr>
        <w:t>-רוט</w:t>
      </w:r>
      <w:r>
        <w:rPr>
          <w:rFonts w:hint="cs"/>
          <w:rtl/>
        </w:rPr>
        <w:t xml:space="preserve">)). על כך </w:t>
      </w:r>
      <w:r>
        <w:rPr>
          <w:rFonts w:hint="cs"/>
          <w:rtl/>
        </w:rPr>
        <w:lastRenderedPageBreak/>
        <w:t xml:space="preserve">מוסיף סעיף 368ד(ז) בקבעו כי מקום שבו הגיע במישרין לידי המשטרה דיווח כאמור, זו תעבירו לעובד סוציאלי שמונה לפי חוק, ולא תפעל בטרם תיוועץ עמו. זאת, למעט במקרים שבהם נדרשת פעולה </w:t>
      </w:r>
      <w:proofErr w:type="spellStart"/>
      <w:r>
        <w:rPr>
          <w:rFonts w:hint="cs"/>
          <w:rtl/>
        </w:rPr>
        <w:t>מיידית</w:t>
      </w:r>
      <w:proofErr w:type="spellEnd"/>
      <w:r>
        <w:rPr>
          <w:rFonts w:hint="cs"/>
          <w:rtl/>
        </w:rPr>
        <w:t xml:space="preserve"> שאינה סובלת דיחוי (ובכפוף לכך שאף במקרים אלו נדרשת המשטרה לקיים את חובת ההיוועצות האמורה לאחר מעשה). </w:t>
      </w:r>
    </w:p>
    <w:p w14:paraId="0E2E4AF2" w14:textId="77777777" w:rsidR="006A687A" w:rsidRDefault="006A687A" w:rsidP="006A687A">
      <w:pPr>
        <w:pStyle w:val="Ruller41"/>
        <w:rPr>
          <w:rtl/>
        </w:rPr>
      </w:pPr>
    </w:p>
    <w:p w14:paraId="20FDEBE6" w14:textId="77777777" w:rsidR="006A687A" w:rsidRDefault="006A687A" w:rsidP="006A687A">
      <w:pPr>
        <w:pStyle w:val="Ruller41"/>
        <w:rPr>
          <w:rtl/>
        </w:rPr>
      </w:pPr>
      <w:r>
        <w:rPr>
          <w:rFonts w:hint="cs"/>
          <w:rtl/>
        </w:rPr>
        <w:t>13.</w:t>
      </w:r>
      <w:r>
        <w:rPr>
          <w:rFonts w:hint="cs"/>
          <w:rtl/>
        </w:rPr>
        <w:tab/>
        <w:t>במבט רחב יצוין בקצרה כי ביסוד חקיקתו של סעיף 368ד לחוק העונשין, כמו גם חקיקת יתר סעיפיו של סימן ו'1 לחוק זה, עמדה התפיסה לפיה מאפייניה המיוחדים של הפגיעה במי שאין בידם להגן על עצמם, כגון קטינים וחסרי ישע, מצדיקים הסדרה סטטוטורי</w:t>
      </w:r>
      <w:r>
        <w:rPr>
          <w:rFonts w:hint="eastAsia"/>
          <w:rtl/>
        </w:rPr>
        <w:t>ת</w:t>
      </w:r>
      <w:r>
        <w:rPr>
          <w:rFonts w:hint="cs"/>
          <w:rtl/>
        </w:rPr>
        <w:t xml:space="preserve"> מיוחדת (ראו </w:t>
      </w:r>
      <w:r w:rsidRPr="00BB7675">
        <w:rPr>
          <w:rFonts w:hint="eastAsia"/>
          <w:rtl/>
        </w:rPr>
        <w:t>דברי</w:t>
      </w:r>
      <w:r w:rsidRPr="00BB7675">
        <w:rPr>
          <w:rtl/>
        </w:rPr>
        <w:t xml:space="preserve"> </w:t>
      </w:r>
      <w:r w:rsidRPr="00BB7675">
        <w:rPr>
          <w:rFonts w:hint="eastAsia"/>
          <w:rtl/>
        </w:rPr>
        <w:t>ההסבר</w:t>
      </w:r>
      <w:r w:rsidRPr="00BB7675">
        <w:rPr>
          <w:rtl/>
        </w:rPr>
        <w:t xml:space="preserve"> </w:t>
      </w:r>
      <w:r w:rsidRPr="00BB7675">
        <w:rPr>
          <w:rFonts w:hint="eastAsia"/>
          <w:rtl/>
        </w:rPr>
        <w:t>לחוק</w:t>
      </w:r>
      <w:r w:rsidRPr="00BB7675">
        <w:rPr>
          <w:rtl/>
        </w:rPr>
        <w:t xml:space="preserve"> </w:t>
      </w:r>
      <w:r w:rsidRPr="00BB7675">
        <w:rPr>
          <w:rFonts w:hint="eastAsia"/>
          <w:rtl/>
        </w:rPr>
        <w:t>העונשין</w:t>
      </w:r>
      <w:r w:rsidRPr="00BB7675">
        <w:rPr>
          <w:rtl/>
        </w:rPr>
        <w:t xml:space="preserve"> (</w:t>
      </w:r>
      <w:r w:rsidRPr="00BB7675">
        <w:rPr>
          <w:rFonts w:hint="eastAsia"/>
          <w:rtl/>
        </w:rPr>
        <w:t>תיקון</w:t>
      </w:r>
      <w:r w:rsidRPr="00BB7675">
        <w:rPr>
          <w:rtl/>
        </w:rPr>
        <w:t xml:space="preserve"> </w:t>
      </w:r>
      <w:r w:rsidRPr="00BB7675">
        <w:rPr>
          <w:rFonts w:hint="eastAsia"/>
          <w:rtl/>
        </w:rPr>
        <w:t>מס</w:t>
      </w:r>
      <w:r w:rsidRPr="00BB7675">
        <w:rPr>
          <w:rtl/>
        </w:rPr>
        <w:t xml:space="preserve">' 31), </w:t>
      </w:r>
      <w:r w:rsidRPr="00BB7675">
        <w:rPr>
          <w:rFonts w:hint="eastAsia"/>
          <w:rtl/>
        </w:rPr>
        <w:t>התשמ</w:t>
      </w:r>
      <w:r w:rsidRPr="00BB7675">
        <w:rPr>
          <w:rtl/>
        </w:rPr>
        <w:t>"</w:t>
      </w:r>
      <w:r w:rsidRPr="00BB7675">
        <w:rPr>
          <w:rFonts w:hint="eastAsia"/>
          <w:rtl/>
        </w:rPr>
        <w:t>ט</w:t>
      </w:r>
      <w:r w:rsidRPr="00BB7675">
        <w:rPr>
          <w:rtl/>
        </w:rPr>
        <w:t xml:space="preserve">-1989 </w:t>
      </w:r>
      <w:proofErr w:type="spellStart"/>
      <w:r w:rsidRPr="00BB7675">
        <w:rPr>
          <w:rFonts w:hint="eastAsia"/>
          <w:rtl/>
        </w:rPr>
        <w:t>ה</w:t>
      </w:r>
      <w:r w:rsidRPr="00BB7675">
        <w:rPr>
          <w:rtl/>
        </w:rPr>
        <w:t>"</w:t>
      </w:r>
      <w:r w:rsidRPr="00BB7675">
        <w:rPr>
          <w:rFonts w:hint="eastAsia"/>
          <w:rtl/>
        </w:rPr>
        <w:t>ח</w:t>
      </w:r>
      <w:proofErr w:type="spellEnd"/>
      <w:r w:rsidRPr="00BB7675">
        <w:rPr>
          <w:rtl/>
        </w:rPr>
        <w:t xml:space="preserve"> 1947, </w:t>
      </w:r>
      <w:r w:rsidRPr="00BB7675">
        <w:rPr>
          <w:rFonts w:hint="eastAsia"/>
          <w:rtl/>
        </w:rPr>
        <w:t>בעמ</w:t>
      </w:r>
      <w:r w:rsidRPr="00BB7675">
        <w:rPr>
          <w:rtl/>
        </w:rPr>
        <w:t>' 146</w:t>
      </w:r>
      <w:r>
        <w:rPr>
          <w:rFonts w:hint="cs"/>
          <w:rtl/>
        </w:rPr>
        <w:t xml:space="preserve">). כך, הובהר בפסיקה כי "לחובת הדיווח רציונל חינוכי, טיפולי-שיקולי והרתעתי" מתוך שאיפה לעודד פעולה שתוכל למנוע פגיעה בקורבנות פוטנציאלים (ראו: </w:t>
      </w:r>
      <w:r w:rsidRPr="006B0B9C">
        <w:rPr>
          <w:rFonts w:ascii="Century" w:hAnsi="Century" w:cs="Miriam" w:hint="eastAsia"/>
          <w:b/>
          <w:spacing w:val="0"/>
          <w:szCs w:val="24"/>
          <w:rtl/>
        </w:rPr>
        <w:t>בג</w:t>
      </w:r>
      <w:r w:rsidRPr="006B0B9C">
        <w:rPr>
          <w:rFonts w:ascii="Century" w:hAnsi="Century" w:cs="Miriam"/>
          <w:b/>
          <w:spacing w:val="0"/>
          <w:szCs w:val="24"/>
          <w:rtl/>
        </w:rPr>
        <w:t>"ץ 7374/21</w:t>
      </w:r>
      <w:r>
        <w:rPr>
          <w:rFonts w:hint="cs"/>
          <w:rtl/>
        </w:rPr>
        <w:t xml:space="preserve">, בעמ' 541-540. ראו גם: </w:t>
      </w:r>
      <w:r w:rsidRPr="00867B11">
        <w:rPr>
          <w:rFonts w:ascii="Century" w:hAnsi="Century" w:cs="Miriam" w:hint="eastAsia"/>
          <w:b/>
          <w:spacing w:val="0"/>
          <w:szCs w:val="24"/>
          <w:rtl/>
        </w:rPr>
        <w:t>גרין</w:t>
      </w:r>
      <w:r>
        <w:rPr>
          <w:rFonts w:hint="cs"/>
          <w:rtl/>
        </w:rPr>
        <w:t xml:space="preserve">, בעמ' 159-158; </w:t>
      </w:r>
      <w:r w:rsidRPr="00BB7675">
        <w:rPr>
          <w:rFonts w:hint="eastAsia"/>
          <w:rtl/>
        </w:rPr>
        <w:t>טלי</w:t>
      </w:r>
      <w:r w:rsidRPr="00BB7675">
        <w:rPr>
          <w:rtl/>
        </w:rPr>
        <w:t xml:space="preserve"> </w:t>
      </w:r>
      <w:r w:rsidRPr="00BB7675">
        <w:rPr>
          <w:rFonts w:hint="eastAsia"/>
          <w:rtl/>
        </w:rPr>
        <w:t>גל</w:t>
      </w:r>
      <w:r w:rsidRPr="00BB7675">
        <w:rPr>
          <w:rtl/>
        </w:rPr>
        <w:t xml:space="preserve"> "</w:t>
      </w:r>
      <w:r w:rsidRPr="00BB7675">
        <w:rPr>
          <w:rFonts w:hint="eastAsia"/>
          <w:rtl/>
        </w:rPr>
        <w:t>ילדים</w:t>
      </w:r>
      <w:r w:rsidRPr="00BB7675">
        <w:rPr>
          <w:rtl/>
        </w:rPr>
        <w:t xml:space="preserve"> </w:t>
      </w:r>
      <w:r w:rsidRPr="00BB7675">
        <w:rPr>
          <w:rFonts w:hint="eastAsia"/>
          <w:rtl/>
        </w:rPr>
        <w:t>נפגעי</w:t>
      </w:r>
      <w:r w:rsidRPr="00BB7675">
        <w:rPr>
          <w:rtl/>
        </w:rPr>
        <w:t xml:space="preserve"> </w:t>
      </w:r>
      <w:r w:rsidRPr="00BB7675">
        <w:rPr>
          <w:rFonts w:hint="eastAsia"/>
          <w:rtl/>
        </w:rPr>
        <w:t>עברה</w:t>
      </w:r>
      <w:r w:rsidRPr="00BB7675">
        <w:rPr>
          <w:rtl/>
        </w:rPr>
        <w:t xml:space="preserve"> </w:t>
      </w:r>
      <w:r w:rsidRPr="00BB7675">
        <w:rPr>
          <w:rFonts w:hint="eastAsia"/>
          <w:rtl/>
        </w:rPr>
        <w:t>בישראל</w:t>
      </w:r>
      <w:r w:rsidRPr="00BB7675">
        <w:rPr>
          <w:rtl/>
        </w:rPr>
        <w:t xml:space="preserve"> </w:t>
      </w:r>
      <w:r w:rsidRPr="00BB7675">
        <w:rPr>
          <w:rFonts w:hint="eastAsia"/>
          <w:rtl/>
        </w:rPr>
        <w:t>עשור</w:t>
      </w:r>
      <w:r w:rsidRPr="00BB7675">
        <w:rPr>
          <w:rtl/>
        </w:rPr>
        <w:t xml:space="preserve"> </w:t>
      </w:r>
      <w:r w:rsidRPr="00BB7675">
        <w:rPr>
          <w:rFonts w:hint="eastAsia"/>
          <w:rtl/>
        </w:rPr>
        <w:t>לאחר</w:t>
      </w:r>
      <w:r>
        <w:rPr>
          <w:rtl/>
        </w:rPr>
        <w:t xml:space="preserve"> </w:t>
      </w:r>
      <w:r>
        <w:rPr>
          <w:rFonts w:hint="cs"/>
          <w:rtl/>
        </w:rPr>
        <w:t>'</w:t>
      </w:r>
      <w:r w:rsidRPr="00BB7675">
        <w:rPr>
          <w:rFonts w:hint="eastAsia"/>
          <w:rtl/>
        </w:rPr>
        <w:t>מהפכת</w:t>
      </w:r>
      <w:r w:rsidRPr="00BB7675">
        <w:rPr>
          <w:rtl/>
        </w:rPr>
        <w:t xml:space="preserve"> </w:t>
      </w:r>
      <w:r w:rsidRPr="00BB7675">
        <w:rPr>
          <w:rFonts w:hint="eastAsia"/>
          <w:rtl/>
        </w:rPr>
        <w:t>זכויות</w:t>
      </w:r>
      <w:r w:rsidRPr="00BB7675">
        <w:rPr>
          <w:rtl/>
        </w:rPr>
        <w:t xml:space="preserve"> </w:t>
      </w:r>
      <w:r w:rsidRPr="00BB7675">
        <w:rPr>
          <w:rFonts w:hint="eastAsia"/>
          <w:rtl/>
        </w:rPr>
        <w:t>הקורבן</w:t>
      </w:r>
      <w:r>
        <w:rPr>
          <w:rFonts w:hint="cs"/>
          <w:rtl/>
        </w:rPr>
        <w:t>'</w:t>
      </w:r>
      <w:r w:rsidRPr="00BB7675">
        <w:rPr>
          <w:rtl/>
        </w:rPr>
        <w:t xml:space="preserve">: </w:t>
      </w:r>
      <w:r w:rsidRPr="00BB7675">
        <w:rPr>
          <w:rFonts w:hint="eastAsia"/>
          <w:rtl/>
        </w:rPr>
        <w:t>בחינה</w:t>
      </w:r>
      <w:r w:rsidRPr="00BB7675">
        <w:rPr>
          <w:rtl/>
        </w:rPr>
        <w:t xml:space="preserve"> </w:t>
      </w:r>
      <w:r w:rsidRPr="00BB7675">
        <w:rPr>
          <w:rFonts w:hint="eastAsia"/>
          <w:rtl/>
        </w:rPr>
        <w:t>דרך</w:t>
      </w:r>
      <w:r w:rsidRPr="00BB7675">
        <w:rPr>
          <w:rtl/>
        </w:rPr>
        <w:t xml:space="preserve"> </w:t>
      </w:r>
      <w:r w:rsidRPr="00BB7675">
        <w:rPr>
          <w:rFonts w:hint="eastAsia"/>
          <w:rtl/>
        </w:rPr>
        <w:t>מודל</w:t>
      </w:r>
      <w:r w:rsidRPr="00BB7675">
        <w:rPr>
          <w:rtl/>
        </w:rPr>
        <w:t xml:space="preserve"> </w:t>
      </w:r>
      <w:r w:rsidRPr="00BB7675">
        <w:rPr>
          <w:rFonts w:hint="eastAsia"/>
          <w:rtl/>
        </w:rPr>
        <w:t>צרכים</w:t>
      </w:r>
      <w:r w:rsidRPr="00BB7675">
        <w:rPr>
          <w:rtl/>
        </w:rPr>
        <w:t>-</w:t>
      </w:r>
      <w:r w:rsidRPr="00BB7675">
        <w:rPr>
          <w:rFonts w:hint="eastAsia"/>
          <w:rtl/>
        </w:rPr>
        <w:t>זכויות</w:t>
      </w:r>
      <w:r>
        <w:rPr>
          <w:rFonts w:hint="cs"/>
          <w:rtl/>
        </w:rPr>
        <w:t>"</w:t>
      </w:r>
      <w:r w:rsidRPr="00BB7675">
        <w:rPr>
          <w:rtl/>
        </w:rPr>
        <w:t xml:space="preserve"> </w:t>
      </w:r>
      <w:r w:rsidRPr="00867B11">
        <w:rPr>
          <w:rFonts w:ascii="Century" w:hAnsi="Century" w:cs="Miriam" w:hint="eastAsia"/>
          <w:b/>
          <w:spacing w:val="0"/>
          <w:szCs w:val="24"/>
          <w:rtl/>
        </w:rPr>
        <w:t>עיוני</w:t>
      </w:r>
      <w:r w:rsidRPr="00867B11">
        <w:rPr>
          <w:rFonts w:ascii="Century" w:hAnsi="Century" w:cs="Miriam"/>
          <w:b/>
          <w:spacing w:val="0"/>
          <w:szCs w:val="24"/>
          <w:rtl/>
        </w:rPr>
        <w:t xml:space="preserve"> </w:t>
      </w:r>
      <w:r w:rsidRPr="00867B11">
        <w:rPr>
          <w:rFonts w:ascii="Century" w:hAnsi="Century" w:cs="Miriam" w:hint="eastAsia"/>
          <w:b/>
          <w:spacing w:val="0"/>
          <w:szCs w:val="24"/>
          <w:rtl/>
        </w:rPr>
        <w:t>משפט</w:t>
      </w:r>
      <w:r w:rsidRPr="00BB7675">
        <w:rPr>
          <w:rtl/>
        </w:rPr>
        <w:t xml:space="preserve"> </w:t>
      </w:r>
      <w:r w:rsidRPr="00BB7675">
        <w:rPr>
          <w:rFonts w:hint="eastAsia"/>
          <w:rtl/>
        </w:rPr>
        <w:t>לו</w:t>
      </w:r>
      <w:r w:rsidRPr="00BB7675">
        <w:rPr>
          <w:rtl/>
        </w:rPr>
        <w:t xml:space="preserve"> 705, 749-744 (2015)</w:t>
      </w:r>
      <w:r>
        <w:rPr>
          <w:rFonts w:hint="cs"/>
          <w:rtl/>
        </w:rPr>
        <w:t>).</w:t>
      </w:r>
    </w:p>
    <w:p w14:paraId="484FA30E" w14:textId="77777777" w:rsidR="006A687A" w:rsidRDefault="006A687A" w:rsidP="006A687A">
      <w:pPr>
        <w:pStyle w:val="Ruller41"/>
        <w:rPr>
          <w:rtl/>
        </w:rPr>
      </w:pPr>
    </w:p>
    <w:p w14:paraId="322F3B62" w14:textId="77777777" w:rsidR="006A687A" w:rsidRDefault="006A687A" w:rsidP="006A687A">
      <w:pPr>
        <w:pStyle w:val="Ruller41"/>
        <w:rPr>
          <w:rtl/>
        </w:rPr>
      </w:pPr>
      <w:r>
        <w:rPr>
          <w:rFonts w:hint="cs"/>
          <w:rtl/>
        </w:rPr>
        <w:t>14.</w:t>
      </w:r>
      <w:r>
        <w:rPr>
          <w:rFonts w:hint="cs"/>
          <w:rtl/>
        </w:rPr>
        <w:tab/>
        <w:t xml:space="preserve">בשולי הדברים יצוין כי מלבד חובת הדיווח הקבועה בסעיף 368ד לחוק העונשין, ישנם דברי חקיקה נוספים המחילים חובת דיווח על גורמי טיפול, ובהם גם עובדים סוציאליים. כך למשל, סעיף 11א לחוק כלי </w:t>
      </w:r>
      <w:proofErr w:type="spellStart"/>
      <w:r>
        <w:rPr>
          <w:rFonts w:hint="cs"/>
          <w:rtl/>
        </w:rPr>
        <w:t>היריה</w:t>
      </w:r>
      <w:proofErr w:type="spellEnd"/>
      <w:r>
        <w:rPr>
          <w:rFonts w:hint="cs"/>
          <w:rtl/>
        </w:rPr>
        <w:t xml:space="preserve">, התש"ט-1949, מטיל חובת דיווח על עובד סוציאלי בנסיבות שבהן הוא סבור כי אם אדם יחזיק או ימשיך להחזיק בכלי ירייה יהיה בכך משום סכנה לאותו אדם או לציבור. כמו כן, מכוח סעיף 262 לחוק העונשין עשויה לקום חובת דיווח על כל אדם, ובכלל זאת עובד סוציאלי, בנסיבות שבהן הדבר דרוש לשם מניעת פשע. בנוסף, סעיף 11א לחוק למניעת אלימות במשפחה, התשנ"א-1991, מטיל על עובד סוציאלי חובה ליידע מטופל, בנסיבות שבהן יש לו יסוד סביר להניח כי זה מקרוב נעברה בו עבירה על-ידי בן זוגו, בדבר האפשרויות הפתוחות בפניו לפנות למשטרה, למחלקה לשירותים חברתיים או למרכז לטיפול ולמניעת אלימות במשפחה. </w:t>
      </w:r>
    </w:p>
    <w:p w14:paraId="5905FCA3" w14:textId="77777777" w:rsidR="006A687A" w:rsidRDefault="006A687A" w:rsidP="006A687A">
      <w:pPr>
        <w:pStyle w:val="Ruller41"/>
        <w:rPr>
          <w:rtl/>
        </w:rPr>
      </w:pPr>
    </w:p>
    <w:p w14:paraId="55B9D17B" w14:textId="3B775A6F" w:rsidR="006A687A" w:rsidRDefault="006A687A" w:rsidP="006A687A">
      <w:pPr>
        <w:pStyle w:val="Ruller41"/>
        <w:rPr>
          <w:rtl/>
        </w:rPr>
      </w:pPr>
      <w:r>
        <w:rPr>
          <w:rFonts w:hint="cs"/>
          <w:rtl/>
        </w:rPr>
        <w:t>15.</w:t>
      </w:r>
      <w:r>
        <w:rPr>
          <w:rFonts w:hint="cs"/>
          <w:rtl/>
        </w:rPr>
        <w:tab/>
        <w:t xml:space="preserve">להשלמת הדברים, ראוי להוסיף כי הצגת המתח העקרוני ביחס </w:t>
      </w:r>
      <w:proofErr w:type="spellStart"/>
      <w:r>
        <w:rPr>
          <w:rFonts w:hint="cs"/>
          <w:rtl/>
        </w:rPr>
        <w:t>לגדריהם</w:t>
      </w:r>
      <w:proofErr w:type="spellEnd"/>
      <w:r>
        <w:rPr>
          <w:rFonts w:hint="cs"/>
          <w:rtl/>
        </w:rPr>
        <w:t xml:space="preserve"> של החיסיון וחובת הסודיות, כמו גם ביחס לחובת הדיווח, מתאימה, בשינויים המחויבים, אף ביחס לחובותיהם של בעלי מקצוע</w:t>
      </w:r>
      <w:r w:rsidR="00FE3EDC">
        <w:rPr>
          <w:rFonts w:hint="cs"/>
          <w:rtl/>
        </w:rPr>
        <w:t xml:space="preserve"> מתחומים</w:t>
      </w:r>
      <w:r>
        <w:rPr>
          <w:rFonts w:hint="cs"/>
          <w:rtl/>
        </w:rPr>
        <w:t xml:space="preserve"> טיפוליים נוספים הכפופים למסגרת נורמטיבית דומה, כגון פסיכולוגים ורופאים. במובן זה, יש להדגיש כי לשאלות העולות במסגרת הליך זה, כפי שיפורטו בהמשך הדברים, השלכה אפשרית אף ביחס לבעלי מקצוע אלו. </w:t>
      </w:r>
    </w:p>
    <w:p w14:paraId="7DF91374" w14:textId="3EFFA98E" w:rsidR="00A54073" w:rsidRDefault="00A54073" w:rsidP="006A687A">
      <w:pPr>
        <w:pStyle w:val="Ruller41"/>
        <w:rPr>
          <w:rtl/>
        </w:rPr>
      </w:pPr>
    </w:p>
    <w:p w14:paraId="71188287" w14:textId="77777777" w:rsidR="00E257F1" w:rsidRDefault="00E257F1" w:rsidP="006A687A">
      <w:pPr>
        <w:pStyle w:val="Ruller41"/>
        <w:rPr>
          <w:rtl/>
        </w:rPr>
      </w:pPr>
    </w:p>
    <w:p w14:paraId="0737E92A" w14:textId="19844EBF" w:rsidR="006A687A" w:rsidRPr="0003404A" w:rsidRDefault="006A687A" w:rsidP="006A687A">
      <w:pPr>
        <w:pStyle w:val="Ruller41"/>
        <w:rPr>
          <w:rFonts w:ascii="Century" w:hAnsi="Century" w:cs="Miriam"/>
          <w:b/>
          <w:spacing w:val="0"/>
          <w:szCs w:val="24"/>
          <w:rtl/>
        </w:rPr>
      </w:pPr>
      <w:r>
        <w:rPr>
          <w:rFonts w:ascii="Century" w:hAnsi="Century" w:cs="Miriam" w:hint="cs"/>
          <w:b/>
          <w:spacing w:val="0"/>
          <w:szCs w:val="24"/>
          <w:rtl/>
        </w:rPr>
        <w:t>עיקרי התשתית העובדתית ו</w:t>
      </w:r>
      <w:r w:rsidRPr="0003404A">
        <w:rPr>
          <w:rFonts w:ascii="Century" w:hAnsi="Century" w:cs="Miriam" w:hint="cs"/>
          <w:b/>
          <w:spacing w:val="0"/>
          <w:szCs w:val="24"/>
          <w:rtl/>
        </w:rPr>
        <w:t xml:space="preserve">ההליכים עד כה </w:t>
      </w:r>
    </w:p>
    <w:p w14:paraId="06F8B69F" w14:textId="77777777" w:rsidR="006A687A" w:rsidRDefault="006A687A" w:rsidP="006A687A">
      <w:pPr>
        <w:pStyle w:val="Ruller41"/>
        <w:rPr>
          <w:rtl/>
        </w:rPr>
      </w:pPr>
    </w:p>
    <w:p w14:paraId="0E829462" w14:textId="7005944C" w:rsidR="006A687A" w:rsidRDefault="006A687A" w:rsidP="003D0AA2">
      <w:pPr>
        <w:pStyle w:val="Ruller41"/>
        <w:rPr>
          <w:rtl/>
        </w:rPr>
      </w:pPr>
      <w:r>
        <w:rPr>
          <w:rFonts w:hint="cs"/>
          <w:rtl/>
        </w:rPr>
        <w:t>16.</w:t>
      </w:r>
      <w:r>
        <w:rPr>
          <w:rFonts w:hint="cs"/>
          <w:rtl/>
        </w:rPr>
        <w:tab/>
        <w:t xml:space="preserve">הגיעה העת להציג את העובדות שביסוד ההליך שבפנינו. </w:t>
      </w:r>
      <w:r w:rsidRPr="007243FB">
        <w:rPr>
          <w:rFonts w:hint="eastAsia"/>
          <w:rtl/>
        </w:rPr>
        <w:t>ביום</w:t>
      </w:r>
      <w:r w:rsidRPr="007243FB">
        <w:rPr>
          <w:rtl/>
        </w:rPr>
        <w:t xml:space="preserve"> 28.12.2020</w:t>
      </w:r>
      <w:r>
        <w:rPr>
          <w:rFonts w:hint="cs"/>
          <w:rtl/>
        </w:rPr>
        <w:t xml:space="preserve"> נעצר אדם (להלן: </w:t>
      </w:r>
      <w:r w:rsidRPr="000409FF">
        <w:rPr>
          <w:rFonts w:ascii="Century" w:hAnsi="Century" w:cs="Miriam" w:hint="cs"/>
          <w:b/>
          <w:spacing w:val="0"/>
          <w:szCs w:val="24"/>
          <w:rtl/>
        </w:rPr>
        <w:t>החשוד</w:t>
      </w:r>
      <w:r>
        <w:rPr>
          <w:rFonts w:hint="cs"/>
          <w:rtl/>
        </w:rPr>
        <w:t xml:space="preserve">) בחשד לביצוע עבירת מין בבתו בת השנתיים, על רקע מידע שהתקבל מגורמי הרווחה. המידע הגיע לידי גורמי הרווחה בעקבות דיווח שמסרו להם נציגי המבקשת, עמותה המטפלת בקטינים, נשים וגברים, אשר נפגעו מעבירות מין או ביצעו עבירות כאלה, הפועלת בקרב האוכלוסייה הדתית. דיווח זה נמסר בהתאם לסעיף 368ד(ב) לחוק העונשין. </w:t>
      </w:r>
      <w:r w:rsidR="000F30DA">
        <w:rPr>
          <w:rFonts w:hint="cs"/>
          <w:rtl/>
        </w:rPr>
        <w:t>על-</w:t>
      </w:r>
      <w:r>
        <w:rPr>
          <w:rFonts w:hint="cs"/>
          <w:rtl/>
        </w:rPr>
        <w:t>פי הדיווח, החשוד פנה לנציגי המבקשת, לרבות עובדים סוציאליי</w:t>
      </w:r>
      <w:r>
        <w:rPr>
          <w:rFonts w:hint="eastAsia"/>
          <w:rtl/>
        </w:rPr>
        <w:t>ם</w:t>
      </w:r>
      <w:r>
        <w:rPr>
          <w:rFonts w:hint="cs"/>
          <w:rtl/>
        </w:rPr>
        <w:t xml:space="preserve"> ופסיכולוגים, ותיאר את המעשים שביצע לכאורה בבתו. בעשותו כן החשוד ביקש עזרה טיפולית. בהמשך, מאחר שהמקרה לא נמצא מתאים לדיון בפני ועדת הפטור הסטטוטורי</w:t>
      </w:r>
      <w:r>
        <w:rPr>
          <w:rFonts w:hint="eastAsia"/>
          <w:rtl/>
        </w:rPr>
        <w:t>ת</w:t>
      </w:r>
      <w:r>
        <w:rPr>
          <w:rFonts w:hint="cs"/>
          <w:rtl/>
        </w:rPr>
        <w:t xml:space="preserve">, הועבר הדיווח למשטרה. </w:t>
      </w:r>
    </w:p>
    <w:p w14:paraId="428323EE" w14:textId="77777777" w:rsidR="006A687A" w:rsidRDefault="006A687A" w:rsidP="006A687A">
      <w:pPr>
        <w:pStyle w:val="Ruller41"/>
        <w:rPr>
          <w:rtl/>
        </w:rPr>
      </w:pPr>
    </w:p>
    <w:p w14:paraId="3C06415F" w14:textId="77777777" w:rsidR="006A687A" w:rsidRDefault="006A687A" w:rsidP="006A687A">
      <w:pPr>
        <w:pStyle w:val="Ruller41"/>
        <w:rPr>
          <w:rtl/>
        </w:rPr>
      </w:pPr>
      <w:r>
        <w:rPr>
          <w:rFonts w:hint="cs"/>
          <w:rtl/>
        </w:rPr>
        <w:t xml:space="preserve">17. </w:t>
      </w:r>
      <w:r>
        <w:rPr>
          <w:rFonts w:hint="cs"/>
          <w:rtl/>
        </w:rPr>
        <w:tab/>
        <w:t xml:space="preserve">בעקבות הדיווח למשטרה החלה זו בחקירה, ובהמשך לכך פנתה למבקשת וביקשה את שיתוף הפעולה של נציגיה במסגרת חקירת המקרה. לאחר שלא זכתה לשיתוף פעולה מצד המבקשת, ביום 30.12.2020 פנתה המשטרה לבית משפט השלום בתל אביב-יפו (צ"א 72464-12-20) בבקשה למתן צו להמצאת מסמכים המופנה כלפי המבקשת וזאת בהתאם לסעיף 43 לפקודת סדר הדין הפלילי (מעצר וחיפוש) [נוסח משולב], התשכ"ט-1969 (להלן: </w:t>
      </w:r>
      <w:r w:rsidRPr="001A323F">
        <w:rPr>
          <w:rFonts w:ascii="Century" w:hAnsi="Century" w:cs="Miriam" w:hint="cs"/>
          <w:b/>
          <w:spacing w:val="0"/>
          <w:szCs w:val="24"/>
          <w:rtl/>
        </w:rPr>
        <w:t>פקודת סדר הדין הפלילי</w:t>
      </w:r>
      <w:r>
        <w:rPr>
          <w:rFonts w:hint="cs"/>
          <w:rtl/>
        </w:rPr>
        <w:t xml:space="preserve">). בבקשה נטען כי יש להורות למבקשת למסור את כלל המסמכים המצויים בידיה הנוגעים לחשוד. </w:t>
      </w:r>
    </w:p>
    <w:p w14:paraId="5706A02B" w14:textId="77777777" w:rsidR="006A687A" w:rsidRDefault="006A687A" w:rsidP="006A687A">
      <w:pPr>
        <w:pStyle w:val="Ruller41"/>
        <w:rPr>
          <w:rtl/>
        </w:rPr>
      </w:pPr>
    </w:p>
    <w:p w14:paraId="343B767A" w14:textId="622CD6D4" w:rsidR="006A687A" w:rsidRDefault="006A687A" w:rsidP="006A687A">
      <w:pPr>
        <w:pStyle w:val="Ruller41"/>
        <w:rPr>
          <w:rtl/>
        </w:rPr>
      </w:pPr>
      <w:r>
        <w:rPr>
          <w:rFonts w:hint="cs"/>
          <w:rtl/>
        </w:rPr>
        <w:t>18.</w:t>
      </w:r>
      <w:r>
        <w:rPr>
          <w:rFonts w:hint="cs"/>
          <w:rtl/>
        </w:rPr>
        <w:tab/>
        <w:t>ביום 31.1</w:t>
      </w:r>
      <w:r w:rsidR="00E46046">
        <w:rPr>
          <w:rFonts w:hint="cs"/>
          <w:rtl/>
        </w:rPr>
        <w:t>2.2020, לאחר דיון במעמד צד אחד,</w:t>
      </w:r>
      <w:r>
        <w:rPr>
          <w:rFonts w:hint="cs"/>
          <w:rtl/>
        </w:rPr>
        <w:t xml:space="preserve"> נעתר בית משפט השלום לבקשה (השופטת </w:t>
      </w:r>
      <w:r w:rsidRPr="00DB3257">
        <w:rPr>
          <w:rFonts w:ascii="Century" w:hAnsi="Century" w:cs="Miriam" w:hint="cs"/>
          <w:b/>
          <w:spacing w:val="0"/>
          <w:szCs w:val="24"/>
          <w:rtl/>
        </w:rPr>
        <w:t>ט' פישמן-לוי</w:t>
      </w:r>
      <w:r>
        <w:rPr>
          <w:rFonts w:hint="cs"/>
          <w:rtl/>
        </w:rPr>
        <w:t xml:space="preserve">). בהמשך, עם המצאת הצו למבקשת ובטרם הומצאו המסמכים למשטרה, עתרה המבקשת לקיום דיון מחודש במעמד שני הצדדים. המבקשת הדגישה כי על המסמכים שהיא נדרשת למסור חל החיסיון הקבוע בסעיף 50א לפקודה וכי חשיפתם תוביל לפגיעה קשה באינטרסים המוגנים מכוחו. </w:t>
      </w:r>
    </w:p>
    <w:p w14:paraId="683CEC87" w14:textId="77777777" w:rsidR="006A687A" w:rsidRDefault="006A687A" w:rsidP="006A687A">
      <w:pPr>
        <w:pStyle w:val="Ruller41"/>
        <w:rPr>
          <w:rtl/>
        </w:rPr>
      </w:pPr>
    </w:p>
    <w:p w14:paraId="044AD874" w14:textId="5034957E" w:rsidR="006A687A" w:rsidRDefault="006A687A" w:rsidP="005E085D">
      <w:pPr>
        <w:pStyle w:val="Ruller41"/>
        <w:rPr>
          <w:rtl/>
        </w:rPr>
      </w:pPr>
      <w:r>
        <w:rPr>
          <w:rFonts w:hint="cs"/>
          <w:rtl/>
        </w:rPr>
        <w:t>19.</w:t>
      </w:r>
      <w:r>
        <w:rPr>
          <w:rFonts w:hint="cs"/>
          <w:rtl/>
        </w:rPr>
        <w:tab/>
        <w:t xml:space="preserve">בית משפט השלום נעתר לבקשה לקיים דיון במעמד שני הצדדים, וזה התקיים ביום 4.1.2021. בעיקרו של דבר, המדינה טענה בו כי בנסיבות שבהן קמה חובת הדיווח הקבועה בסעיף 368ד(ב) לחוק העונשין, </w:t>
      </w:r>
      <w:r w:rsidR="005E085D">
        <w:rPr>
          <w:rFonts w:hint="cs"/>
          <w:rtl/>
        </w:rPr>
        <w:t xml:space="preserve">כלל לא </w:t>
      </w:r>
      <w:r>
        <w:rPr>
          <w:rFonts w:hint="cs"/>
          <w:rtl/>
        </w:rPr>
        <w:t>חל</w:t>
      </w:r>
      <w:r w:rsidR="005E085D">
        <w:rPr>
          <w:rFonts w:hint="cs"/>
          <w:rtl/>
        </w:rPr>
        <w:t xml:space="preserve"> </w:t>
      </w:r>
      <w:r>
        <w:rPr>
          <w:rFonts w:hint="cs"/>
          <w:rtl/>
        </w:rPr>
        <w:t xml:space="preserve">החיסיון הקבוע בסעיף 50א לפקודה ואין להידרש לנוסחת האיזון הקבועה בו. לחלופין, נטען כי אף אם לא תתקבל גישתה האמורה, הרי שבנסיבות העניין, בשים לב לטיב החשדות ולחשיבותו של המידע בו מחזיקים נציגי המבקשת, יש להורות על המצאת המסמכים המבוקשים ובכלל זאת אף לחייב את בעלי התפקידים הנוגעים בעניין למסור עדות. זאת, בהתאם לנוסחת האיזון </w:t>
      </w:r>
      <w:r>
        <w:rPr>
          <w:rFonts w:hint="cs"/>
          <w:rtl/>
        </w:rPr>
        <w:lastRenderedPageBreak/>
        <w:t xml:space="preserve">הקבועה בסעיף 50א לפקודה. מנגד, המבקשת טענה כי אין בחובת הדיווח להוביל לביטול גורף של החיסיון, וכי בנסיבות העניין אין אף הצדקה להורות על הסרתו. על כן נטען כי יש לבטל את הצו שהוצא בעניינה. לשיטת המבקשת, חובת הדיווח מתמצה אך בהעברת הדיווח לרשויות, ואינה מקימה כל חובה נוספת להעברת מסמכים או רישומים שנערכו במסגרת טיפולית </w:t>
      </w:r>
      <w:r w:rsidR="00E46046">
        <w:rPr>
          <w:rFonts w:hint="cs"/>
          <w:rtl/>
        </w:rPr>
        <w:t>או למסירת עדות באשר לכך במשטרה.</w:t>
      </w:r>
      <w:r>
        <w:rPr>
          <w:rFonts w:hint="cs"/>
          <w:rtl/>
        </w:rPr>
        <w:t xml:space="preserve"> </w:t>
      </w:r>
    </w:p>
    <w:p w14:paraId="465E92B6" w14:textId="77777777" w:rsidR="006A687A" w:rsidRDefault="006A687A" w:rsidP="006A687A">
      <w:pPr>
        <w:pStyle w:val="Ruller41"/>
        <w:rPr>
          <w:rtl/>
        </w:rPr>
      </w:pPr>
    </w:p>
    <w:p w14:paraId="352F2F47" w14:textId="77777777" w:rsidR="006A687A" w:rsidRDefault="006A687A" w:rsidP="006A687A">
      <w:pPr>
        <w:pStyle w:val="Ruller41"/>
        <w:rPr>
          <w:rtl/>
        </w:rPr>
      </w:pPr>
      <w:r>
        <w:rPr>
          <w:rFonts w:hint="cs"/>
          <w:rtl/>
        </w:rPr>
        <w:t>20.</w:t>
      </w:r>
      <w:r>
        <w:rPr>
          <w:rFonts w:hint="cs"/>
          <w:rtl/>
        </w:rPr>
        <w:tab/>
        <w:t xml:space="preserve">בית משפט השלום (השופטת </w:t>
      </w:r>
      <w:r w:rsidRPr="00021FC3">
        <w:rPr>
          <w:rFonts w:ascii="Century" w:hAnsi="Century" w:cs="Miriam" w:hint="cs"/>
          <w:b/>
          <w:spacing w:val="0"/>
          <w:szCs w:val="24"/>
          <w:rtl/>
        </w:rPr>
        <w:t>ע' יהב</w:t>
      </w:r>
      <w:r w:rsidRPr="009D65E6">
        <w:rPr>
          <w:rFonts w:ascii="Century" w:hAnsi="Century"/>
          <w:rtl/>
        </w:rPr>
        <w:t>)</w:t>
      </w:r>
      <w:r>
        <w:rPr>
          <w:rFonts w:hint="cs"/>
          <w:rtl/>
        </w:rPr>
        <w:t xml:space="preserve"> דחה את הבקשה לביטול הצו, הגם שלא קיבל את טעמיה של המדינה במלואם. בעיקרו של דבר, בית משפט השלום קבע כי אין לקבל את העמדה העקרונית לפיה חובת הדיווח מובילה כשלעצמה לביטול גורף וכוללני של החיסיון באופן המחייב את מסירת המסמכים. חלף זאת, בית משפט השלום קבע כי חובת הדיווח מובילה אך לכרסום נקודתי בחיסיון. בהמשך לכך, לאחר שבחן את נסיבותיו הקונקרטיות של המקרה דנן ואת האינטרסים המנוגדים שהוצגו על-ידי הצדדים, בית משפט השלום קבע כי יש להותיר על כנו את הצו להמצאת המסמכים. בית משפט השלום ציין כי ביטול הצו יוביל לפגיעה בחקירה ובכך להעמדה בסכנה של בני משפחתו הקטינים של החשוד </w:t>
      </w:r>
      <w:r>
        <w:rPr>
          <w:rtl/>
        </w:rPr>
        <w:t>–</w:t>
      </w:r>
      <w:r>
        <w:rPr>
          <w:rFonts w:hint="cs"/>
          <w:rtl/>
        </w:rPr>
        <w:t xml:space="preserve"> תוצאה שאינה יכולה לעמוד כל עוד לא מוצתה החקירה. בקבעו זאת הבהיר בית משפט השלום כי טענותיה של המבקשת יוסיפו לעמוד לזכות החשוד ולהגנתו ככל שהדבר יידרש במסגרת ההליך העיקרי </w:t>
      </w:r>
      <w:r>
        <w:rPr>
          <w:rtl/>
        </w:rPr>
        <w:t>–</w:t>
      </w:r>
      <w:r>
        <w:rPr>
          <w:rFonts w:hint="cs"/>
          <w:rtl/>
        </w:rPr>
        <w:t xml:space="preserve"> אם יוגש נגדו כתב אישום. </w:t>
      </w:r>
    </w:p>
    <w:p w14:paraId="6E35847E" w14:textId="77777777" w:rsidR="006A687A" w:rsidRDefault="006A687A" w:rsidP="006A687A">
      <w:pPr>
        <w:pStyle w:val="Ruller41"/>
        <w:rPr>
          <w:rtl/>
        </w:rPr>
      </w:pPr>
    </w:p>
    <w:p w14:paraId="1628BD7A" w14:textId="64455EBA" w:rsidR="006A687A" w:rsidRDefault="006A687A" w:rsidP="005E085D">
      <w:pPr>
        <w:pStyle w:val="Ruller41"/>
        <w:rPr>
          <w:rtl/>
        </w:rPr>
      </w:pPr>
      <w:r>
        <w:rPr>
          <w:rFonts w:hint="cs"/>
          <w:rtl/>
        </w:rPr>
        <w:t>21.</w:t>
      </w:r>
      <w:r>
        <w:rPr>
          <w:rFonts w:hint="cs"/>
          <w:rtl/>
        </w:rPr>
        <w:tab/>
        <w:t xml:space="preserve">שני הצדדים הגישו </w:t>
      </w:r>
      <w:proofErr w:type="spellStart"/>
      <w:r>
        <w:rPr>
          <w:rFonts w:hint="cs"/>
          <w:rtl/>
        </w:rPr>
        <w:t>עררים</w:t>
      </w:r>
      <w:proofErr w:type="spellEnd"/>
      <w:r>
        <w:rPr>
          <w:rFonts w:hint="cs"/>
          <w:rtl/>
        </w:rPr>
        <w:t xml:space="preserve"> על החלטה זו לבית המשפט המחוזי. </w:t>
      </w:r>
    </w:p>
    <w:p w14:paraId="33F9B3C8" w14:textId="77777777" w:rsidR="006A687A" w:rsidRDefault="006A687A" w:rsidP="006A687A">
      <w:pPr>
        <w:pStyle w:val="Ruller41"/>
        <w:rPr>
          <w:rtl/>
        </w:rPr>
      </w:pPr>
    </w:p>
    <w:p w14:paraId="0D72DDEB" w14:textId="77777777" w:rsidR="006A687A" w:rsidRDefault="006A687A" w:rsidP="006A687A">
      <w:pPr>
        <w:pStyle w:val="Ruller41"/>
        <w:rPr>
          <w:rtl/>
        </w:rPr>
      </w:pPr>
      <w:r>
        <w:rPr>
          <w:rFonts w:hint="cs"/>
          <w:rtl/>
        </w:rPr>
        <w:t>22.</w:t>
      </w:r>
      <w:r>
        <w:rPr>
          <w:rFonts w:hint="cs"/>
          <w:rtl/>
        </w:rPr>
        <w:tab/>
        <w:t xml:space="preserve">בערר מטעמה עמדה המדינה על טענתה העקרונית לפיה חובת הדיווח מכוח סעיף 368ד(ב) לחוק העונשין מובילה לביטול מוחלט של החיסיון הקבוע בסעיף 50א לפקודה בנושא שלגביו חלה חובת הדיווח. היא הוסיפה וטענה, כי לחלופין היה על בית משפט השלום להסיר באופן מפורש את החיסיון ביחס לכל מידע הקשור לחשוד ומצוי בידי המבקשת בהתאם לנוסחת האיזון הקבועה בסעיף 50א לפקודה. </w:t>
      </w:r>
    </w:p>
    <w:p w14:paraId="0AB8472F" w14:textId="77777777" w:rsidR="006A687A" w:rsidRDefault="006A687A" w:rsidP="006A687A">
      <w:pPr>
        <w:pStyle w:val="Ruller41"/>
        <w:rPr>
          <w:rtl/>
        </w:rPr>
      </w:pPr>
    </w:p>
    <w:p w14:paraId="5A8F7C23" w14:textId="617F6238" w:rsidR="006A687A" w:rsidRDefault="006A687A" w:rsidP="006A687A">
      <w:pPr>
        <w:pStyle w:val="Ruller41"/>
        <w:rPr>
          <w:rtl/>
        </w:rPr>
      </w:pPr>
      <w:r>
        <w:rPr>
          <w:rFonts w:hint="cs"/>
          <w:rtl/>
        </w:rPr>
        <w:t>23.</w:t>
      </w:r>
      <w:r>
        <w:rPr>
          <w:rFonts w:hint="cs"/>
          <w:rtl/>
        </w:rPr>
        <w:tab/>
        <w:t xml:space="preserve">מנגד, המבקשת טענה בערר שהגישה כי יש לפרש את חובת הדיווח הקבועה בסעיף 368ד באופן שמוביל לפגיעה נקודתית בלבד בחיסיון, כזו שמתמצה בדיווח עצמו ללא מסירת מידע נוסף. המבקשת הדגישה כי ביסוד פרשנות זו עומדים שיקולים כבדי משקל, ובראשם הצורך לעודד את אלה הזקוקים לטיפול לקבלו, מבלי לחשוש שמא פנייתם לקבלת טיפול תהפוך את הגורם הטיפולי "לזרועה הארוכה של משטרת ישראל". בדומה למדינה, אף המבקשת טענה כי שגה בית משפט השלום בכך שנמנע מלהפעיל את נוסחת האיזון הקבועה בסעיף 50א לפקודה. אולם, לטענת המבקשת, הפעלת הנוסחה </w:t>
      </w:r>
      <w:r>
        <w:rPr>
          <w:rFonts w:hint="cs"/>
          <w:rtl/>
        </w:rPr>
        <w:lastRenderedPageBreak/>
        <w:t>האמורה הייתה צריכה להוביל בנסיבות העניין לתוצאה הפוכה של דחיית הבקשה להמצאת המסמכים.</w:t>
      </w:r>
    </w:p>
    <w:p w14:paraId="6EE7F2C8" w14:textId="77777777" w:rsidR="004649AB" w:rsidRDefault="004649AB" w:rsidP="006A687A">
      <w:pPr>
        <w:pStyle w:val="Ruller41"/>
        <w:rPr>
          <w:rtl/>
        </w:rPr>
      </w:pPr>
    </w:p>
    <w:p w14:paraId="2F0B9B27" w14:textId="77777777" w:rsidR="006A687A" w:rsidRDefault="006A687A" w:rsidP="006A687A">
      <w:pPr>
        <w:pStyle w:val="Ruller41"/>
        <w:rPr>
          <w:rtl/>
        </w:rPr>
      </w:pPr>
      <w:r>
        <w:rPr>
          <w:rFonts w:hint="cs"/>
          <w:rtl/>
        </w:rPr>
        <w:t>24.</w:t>
      </w:r>
      <w:r>
        <w:rPr>
          <w:rFonts w:hint="cs"/>
          <w:rtl/>
        </w:rPr>
        <w:tab/>
        <w:t xml:space="preserve">ביום 18.1.2021 בית המשפט המחוזי קיבל את הערר שהגישה המדינה ודחה את הערר שהגישה המבקשת (ע"ח 9502-01-21, סגן הנשיא </w:t>
      </w:r>
      <w:r w:rsidRPr="000D1AC1">
        <w:rPr>
          <w:rFonts w:ascii="Century" w:hAnsi="Century" w:cs="Miriam" w:hint="cs"/>
          <w:b/>
          <w:spacing w:val="0"/>
          <w:szCs w:val="24"/>
          <w:rtl/>
        </w:rPr>
        <w:t>ב' שגיא</w:t>
      </w:r>
      <w:r w:rsidRPr="009D65E6">
        <w:rPr>
          <w:rFonts w:ascii="Century" w:hAnsi="Century"/>
          <w:rtl/>
        </w:rPr>
        <w:t>)</w:t>
      </w:r>
      <w:r>
        <w:rPr>
          <w:rFonts w:hint="cs"/>
          <w:rtl/>
        </w:rPr>
        <w:t>. בעיקרו של דבר, בית המשפט המחוזי קבע כי מקום שבו קמה לעובד סוציאלי חובת דיווח, זו גוברת על החיסיון הקבוע בסעיף 50א לפקודה ביחס לכלל הנתונים הרלוונטיי</w:t>
      </w:r>
      <w:r>
        <w:rPr>
          <w:rFonts w:hint="eastAsia"/>
          <w:rtl/>
        </w:rPr>
        <w:t>ם</w:t>
      </w:r>
      <w:r>
        <w:rPr>
          <w:rFonts w:hint="cs"/>
          <w:rtl/>
        </w:rPr>
        <w:t xml:space="preserve"> לאירוע שהקים את חובת הדיווח. זאת, כך נקבע, בין אם הדבר מוצא ביטוי במסמכים טיפוליים שנערכו על-ידי העובד הסוציאלי, ובין אם הדבר עולה מדברים שנאמרו לו במהלך המפגשים הטיפוליים. על כן, בית המשפט המחוזי קבע כי על העובד הסוציאלי לחשוף את המסמכים האמורים בפני המשטרה ולמסור עדות ביחס לכלל הנתונים הרלוונטיי</w:t>
      </w:r>
      <w:r>
        <w:rPr>
          <w:rFonts w:hint="eastAsia"/>
          <w:rtl/>
        </w:rPr>
        <w:t>ם</w:t>
      </w:r>
      <w:r>
        <w:rPr>
          <w:rFonts w:hint="cs"/>
          <w:rtl/>
        </w:rPr>
        <w:t xml:space="preserve">. בית המשפט המחוזי הדגיש כי מדובר בהסרה נקודתית של החיסיון, ובהיעדר החלטה אחרת (מכוח הפעלת נוסחת האיזון הקבועה בסעיף 50א לפקודה), החיסיון ימשיך ויחול ביחס ליתר הנתונים שנמסרו במהלך הטיפול. בהגיעו למסקנה האמורה, עמד בית המשפט המחוזי, בין היתר, על חשיבותה של חובת הדיווח הסטטוטורית המבטאת העדפה מובהקת לשמירת האינטרס החשוב של הגנה על קטינים וחסרי ישע בהשוואה לפגיעה הנקודתית באינטרסים העומדים ביסוד החיסיון. בית המשפט המחוזי הוסיף והדגיש את החשיבות היתרה שייחס המחוקק בהטלת חובת דיווח דווקא על גורמים טיפוליים, וכן הביע חשש ממצב שבו חובה זו תוגשם במתכונת לאקונית שלא תשרת את תכליתה. </w:t>
      </w:r>
    </w:p>
    <w:p w14:paraId="6B4BFF0E" w14:textId="77777777" w:rsidR="006A687A" w:rsidRDefault="006A687A" w:rsidP="006A687A">
      <w:pPr>
        <w:pStyle w:val="Ruller41"/>
        <w:rPr>
          <w:rtl/>
        </w:rPr>
      </w:pPr>
    </w:p>
    <w:p w14:paraId="5D84BEC2" w14:textId="77777777" w:rsidR="006A687A" w:rsidRDefault="006A687A" w:rsidP="006A687A">
      <w:pPr>
        <w:pStyle w:val="Ruller41"/>
        <w:rPr>
          <w:rtl/>
        </w:rPr>
      </w:pPr>
      <w:r>
        <w:rPr>
          <w:rFonts w:hint="cs"/>
          <w:rtl/>
        </w:rPr>
        <w:t>25.</w:t>
      </w:r>
      <w:r>
        <w:rPr>
          <w:rFonts w:hint="cs"/>
          <w:rtl/>
        </w:rPr>
        <w:tab/>
        <w:t xml:space="preserve">לנוכח התוצאה שאליה הגיע, בית המשפט המחוזי ציין כי התייתר הצורך לדון בטענה החלופית לפיה קיימת הצדקה בנסיבות העניין להסרת החיסיון בהתאם לנוסחת האיזון הקבועה בסעיף 50א לפקודה. לצד זאת, בית המשפט המחוזי ציין כי עיון בתיק החקירה מגלה חשד מסוים גם ביחס לעבירות שאינן מקימות חובת דיווח. בהקשר זה בית המשפט המחוזי הוסיף כי דיון ביחס להיבטים אלה לא נערך בבית משפט השלום, וממילא לא נבחנה התשתית הראייתית ובפרט האפשרות להסתפק בראיות חלופיות שמידת פגיעתן פחותה. נוכח זאת, בית המשפט המחוזי קבע כי ככל שתחפוץ המדינה בהסרת החיסיון, מעבר למתכונת שעליה הורה, היא תוכל לעתור לכך במסגרת הליך נפרד בבית משפט השלום. בהסכמת הצדדים בית המשפט המחוזי עיכב את ביצוע החלטתו האמורה עד יום 21.1.2021. </w:t>
      </w:r>
      <w:r>
        <w:rPr>
          <w:rtl/>
        </w:rPr>
        <w:br/>
      </w:r>
    </w:p>
    <w:p w14:paraId="48971049" w14:textId="3D1197DE" w:rsidR="006A687A" w:rsidRDefault="006A687A" w:rsidP="006A687A">
      <w:pPr>
        <w:pStyle w:val="Ruller41"/>
        <w:rPr>
          <w:rtl/>
        </w:rPr>
      </w:pPr>
      <w:r>
        <w:rPr>
          <w:rFonts w:hint="cs"/>
          <w:rtl/>
        </w:rPr>
        <w:t>26.</w:t>
      </w:r>
      <w:r>
        <w:rPr>
          <w:rFonts w:hint="cs"/>
          <w:rtl/>
        </w:rPr>
        <w:tab/>
        <w:t xml:space="preserve">ואכן, ביום 21.1.2021, בהתאם להחלטתו של בית המשפט המחוזי, הגישה המדינה בקשה נוספת לבית משפט השלום בדרישה להורות על המצאת מסמכים נוספים המצויים בידי המבקשת ונוגעים למעשים החורגים מאלו שבגינם קמה חובת הדיווח. </w:t>
      </w:r>
      <w:r>
        <w:rPr>
          <w:rFonts w:hint="cs"/>
          <w:rtl/>
        </w:rPr>
        <w:lastRenderedPageBreak/>
        <w:t>עיון במערכת "נט המשפט" מעלה כי לאחר שהוגשו מספר בקשות לדחיית מועד הדיון בבקשה על-ידי המבקשת, בין היתר נוכח קיומו של ההליך דנן, דיון כאמור נערך ביום 28.2.2021 וב</w:t>
      </w:r>
      <w:r w:rsidR="00E46046">
        <w:rPr>
          <w:rFonts w:hint="cs"/>
          <w:rtl/>
        </w:rPr>
        <w:t>שלב זה הבקשה עודה תלויה ועומדת.</w:t>
      </w:r>
      <w:r>
        <w:rPr>
          <w:rFonts w:hint="cs"/>
          <w:rtl/>
        </w:rPr>
        <w:t xml:space="preserve"> </w:t>
      </w:r>
    </w:p>
    <w:p w14:paraId="66FBE27C" w14:textId="77777777" w:rsidR="00E257F1" w:rsidRDefault="00E257F1" w:rsidP="006A687A">
      <w:pPr>
        <w:pStyle w:val="Ruller41"/>
        <w:rPr>
          <w:rtl/>
        </w:rPr>
      </w:pPr>
    </w:p>
    <w:p w14:paraId="72B30FBC" w14:textId="77777777" w:rsidR="006A687A" w:rsidRPr="00F8138F" w:rsidRDefault="006A687A" w:rsidP="006A687A">
      <w:pPr>
        <w:pStyle w:val="Ruller41"/>
        <w:rPr>
          <w:rFonts w:ascii="Century" w:hAnsi="Century" w:cs="Miriam"/>
          <w:b/>
          <w:spacing w:val="0"/>
          <w:szCs w:val="24"/>
        </w:rPr>
      </w:pPr>
      <w:r w:rsidRPr="00F8138F">
        <w:rPr>
          <w:rFonts w:ascii="Century" w:hAnsi="Century" w:cs="Miriam" w:hint="eastAsia"/>
          <w:b/>
          <w:spacing w:val="0"/>
          <w:szCs w:val="24"/>
          <w:rtl/>
        </w:rPr>
        <w:t>בקשת</w:t>
      </w:r>
      <w:r w:rsidRPr="00F8138F">
        <w:rPr>
          <w:rFonts w:ascii="Century" w:hAnsi="Century" w:cs="Miriam"/>
          <w:b/>
          <w:spacing w:val="0"/>
          <w:szCs w:val="24"/>
          <w:rtl/>
        </w:rPr>
        <w:t xml:space="preserve"> </w:t>
      </w:r>
      <w:r w:rsidRPr="00F8138F">
        <w:rPr>
          <w:rFonts w:ascii="Century" w:hAnsi="Century" w:cs="Miriam" w:hint="eastAsia"/>
          <w:b/>
          <w:spacing w:val="0"/>
          <w:szCs w:val="24"/>
          <w:rtl/>
        </w:rPr>
        <w:t>רשות</w:t>
      </w:r>
      <w:r w:rsidRPr="00F8138F">
        <w:rPr>
          <w:rFonts w:ascii="Century" w:hAnsi="Century" w:cs="Miriam"/>
          <w:b/>
          <w:spacing w:val="0"/>
          <w:szCs w:val="24"/>
          <w:rtl/>
        </w:rPr>
        <w:t xml:space="preserve"> </w:t>
      </w:r>
      <w:r w:rsidRPr="00F8138F">
        <w:rPr>
          <w:rFonts w:ascii="Century" w:hAnsi="Century" w:cs="Miriam" w:hint="eastAsia"/>
          <w:b/>
          <w:spacing w:val="0"/>
          <w:szCs w:val="24"/>
          <w:rtl/>
        </w:rPr>
        <w:t>הערר</w:t>
      </w:r>
    </w:p>
    <w:p w14:paraId="5A6F904A" w14:textId="77777777" w:rsidR="006A687A" w:rsidRDefault="006A687A" w:rsidP="006A687A">
      <w:pPr>
        <w:pStyle w:val="Ruller41"/>
        <w:rPr>
          <w:rtl/>
        </w:rPr>
      </w:pPr>
      <w:r>
        <w:rPr>
          <w:rFonts w:hint="cs"/>
          <w:rtl/>
        </w:rPr>
        <w:t xml:space="preserve"> </w:t>
      </w:r>
    </w:p>
    <w:p w14:paraId="04FF3D6E" w14:textId="77777777" w:rsidR="006A687A" w:rsidRDefault="006A687A" w:rsidP="006A687A">
      <w:pPr>
        <w:pStyle w:val="Ruller41"/>
        <w:rPr>
          <w:rtl/>
        </w:rPr>
      </w:pPr>
      <w:r>
        <w:rPr>
          <w:rFonts w:hint="cs"/>
          <w:rtl/>
        </w:rPr>
        <w:t>27.</w:t>
      </w:r>
      <w:r>
        <w:rPr>
          <w:rFonts w:hint="cs"/>
          <w:rtl/>
        </w:rPr>
        <w:tab/>
        <w:t xml:space="preserve">ביום 21.1.2021 המבקשת הגישה את בקשת רשות הערר דנן, שנסבה כאמור על החלטתו האמורה של בית המשפט המחוזי, ובצדה גם בקשה להמשך עיכוב ביצועה. לטענת המבקשת, בקשת רשות הערר מעלה לדיון סוגיה עקרונית חשובה, הנוגעת להיקפה של חובת הדיווח החלה על עובד סוציאלי (ובהתאמה גם על גורמי טיפול נוספים, כגון פסיכולוגים, הכפופים לחובת דיווח דומה) בשים לב לחיסיון לו זכאי המטופל. </w:t>
      </w:r>
    </w:p>
    <w:p w14:paraId="4EE45092" w14:textId="77777777" w:rsidR="006A687A" w:rsidRDefault="006A687A" w:rsidP="006A687A">
      <w:pPr>
        <w:pStyle w:val="Ruller41"/>
        <w:rPr>
          <w:rtl/>
        </w:rPr>
      </w:pPr>
    </w:p>
    <w:p w14:paraId="27F3BFF1" w14:textId="440C53EE" w:rsidR="006A687A" w:rsidRDefault="006A687A" w:rsidP="006A687A">
      <w:pPr>
        <w:pStyle w:val="Ruller41"/>
        <w:rPr>
          <w:rtl/>
        </w:rPr>
      </w:pPr>
      <w:r>
        <w:rPr>
          <w:rFonts w:hint="cs"/>
          <w:rtl/>
        </w:rPr>
        <w:t>28.</w:t>
      </w:r>
      <w:r>
        <w:rPr>
          <w:rFonts w:hint="cs"/>
          <w:rtl/>
        </w:rPr>
        <w:tab/>
        <w:t>ביסודה של בקשת רשות הערר מניחה המבקשת טענות עקרוניות הנוגעות לחובת הדיווח, ובראשן החשש מפני הרתעת פוגעים מקבלת טיפול מתאים, נוכח הידיעה כי הגורם הטיפולי משמש, הלכה למעשה, כזרועה הארוכה של המשטרה. התוצאה עלולה להיות, כך נטען, המשך הפגיעה בחסרי ישע ובקטינים. המבקשת מדגישה כי חובת הדיווח מובילה אף לפגיעה בנפגעים שאינם מעוניינים מטעמיהם שלהם בהפללת הפוגע משום שאלה יירתעו מפניה למסגרת טיפולית. באופן כללי יותר, המבקשת מדגישה כי חובת הדיווח אינה נותנת משקל לחשיבות הנודעת לשמירה על סודיות הטיפול, שלה מסורת מקצועית ארוכת שנים ו</w:t>
      </w:r>
      <w:r w:rsidR="00FE3EDC">
        <w:rPr>
          <w:rFonts w:hint="cs"/>
          <w:rtl/>
        </w:rPr>
        <w:t xml:space="preserve">היא </w:t>
      </w:r>
      <w:r>
        <w:rPr>
          <w:rFonts w:hint="cs"/>
          <w:rtl/>
        </w:rPr>
        <w:t xml:space="preserve">אף חורגת לטענתה בהיקפה מזו הנהוגה במדינות רבות בעולם. המבקשת מוסיפה וטוענת גם ביחס למידת יעילותה המעשית של חובת הדיווח בציינה כי לגישתה הנזק הכרוך בה עולה ממילא על תועלתה. </w:t>
      </w:r>
    </w:p>
    <w:p w14:paraId="4D173E4B" w14:textId="77777777" w:rsidR="006A687A" w:rsidRDefault="006A687A" w:rsidP="006A687A">
      <w:pPr>
        <w:pStyle w:val="Ruller41"/>
        <w:rPr>
          <w:rtl/>
        </w:rPr>
      </w:pPr>
    </w:p>
    <w:p w14:paraId="0FBD9080" w14:textId="77777777" w:rsidR="006A687A" w:rsidRDefault="006A687A" w:rsidP="006A687A">
      <w:pPr>
        <w:pStyle w:val="Ruller41"/>
        <w:rPr>
          <w:rtl/>
        </w:rPr>
      </w:pPr>
      <w:r>
        <w:rPr>
          <w:rFonts w:hint="cs"/>
          <w:rtl/>
        </w:rPr>
        <w:t>29.</w:t>
      </w:r>
      <w:r>
        <w:rPr>
          <w:rFonts w:hint="cs"/>
          <w:rtl/>
        </w:rPr>
        <w:tab/>
        <w:t xml:space="preserve">המבקשת מדגישה כי גישתו של בית המשפט המחוזי תוביל, הלכה למעשה, להחמרת הנזקים הקשים ממילא של חובת הדיווח ולפגיעה קיצונית בחיסיון הטיפולי הקבוע בסעיף 50א לפקודה. בהתאם לפרשנות זו, כך נטען, כאשר חלה חובת דיווח יועבר למשטרה מידע טיפולי באופן אוטומטי, מבלי שקדם לכך הליך של ביקורת שיפוטית ומבלי שניתנה לעובד הסוציאלי הזדמנות לטעון ביחס לנזקים שיגרמו מחשיפת המידע. המבקשת מוסיפה וטוענת כי פרשנותו של בית המשפט המחוזי מתעלמת מהפרקטיקה הרווחת במקרים מסוג זה, שלפיה, כך נטען, המשטרה מקדימה ופונה לבית המשפט לקבלת צו המתיר את הסרת החיסיון בהתאם לנוסחת האיזון הקבועה בסעיף 50א לפקודה. פרקטיקה זו מעידה, כך נטען, כי המדינה עצמה לא סבורה שהעברת המסמכים היא חלק בלתי נפרד מחובת הדיווח, אלא מכירה בהיותה נתונה לשיקול דעת שיפוטי </w:t>
      </w:r>
      <w:r>
        <w:rPr>
          <w:rFonts w:hint="cs"/>
          <w:rtl/>
        </w:rPr>
        <w:lastRenderedPageBreak/>
        <w:t>בהתאם לנוסחת האיזון שנקבעה בסעיף 50א לפקודת הראיות. זאת ועוד, המבקשת טוענת כי פרשנותו של בית המשפט המחוזי אינה עולה בקנה אחד אף עם הפרקטיקה הנהוגה בקרב ועדות הפטור הסטטוטוריו</w:t>
      </w:r>
      <w:r>
        <w:rPr>
          <w:rFonts w:hint="eastAsia"/>
          <w:rtl/>
        </w:rPr>
        <w:t>ת</w:t>
      </w:r>
      <w:r>
        <w:rPr>
          <w:rFonts w:hint="cs"/>
          <w:rtl/>
        </w:rPr>
        <w:t xml:space="preserve"> הפועלות לפי סעיף 368ד(ו) לחוק העונשין, אשר נמנעות כעניין שבשגרה מלהעביר למשטרה את מכלול החומרים שקיבלו מהגורם המטפל לצורך דיוניהן, מתוך רצון להגן על החיסיון הטיפולי. </w:t>
      </w:r>
    </w:p>
    <w:p w14:paraId="765D3C63" w14:textId="77777777" w:rsidR="006A687A" w:rsidRDefault="006A687A" w:rsidP="006A687A">
      <w:pPr>
        <w:pStyle w:val="Ruller41"/>
        <w:rPr>
          <w:rtl/>
        </w:rPr>
      </w:pPr>
    </w:p>
    <w:p w14:paraId="71E2A383" w14:textId="3FB43A40" w:rsidR="006A687A" w:rsidRDefault="006A687A" w:rsidP="00FE3EDC">
      <w:pPr>
        <w:pStyle w:val="Ruller41"/>
        <w:rPr>
          <w:rtl/>
        </w:rPr>
      </w:pPr>
      <w:r>
        <w:rPr>
          <w:rFonts w:hint="cs"/>
          <w:rtl/>
        </w:rPr>
        <w:t xml:space="preserve">30. </w:t>
      </w:r>
      <w:r>
        <w:rPr>
          <w:rFonts w:hint="cs"/>
          <w:rtl/>
        </w:rPr>
        <w:tab/>
        <w:t>על רקע טענותיה לעיל, בשלב דיוני זה העלתה המבקשת לראשונה טענות במישור החוקתי כנגד ההסדר הסטטוטור</w:t>
      </w:r>
      <w:r>
        <w:rPr>
          <w:rFonts w:hint="eastAsia"/>
          <w:rtl/>
        </w:rPr>
        <w:t>י</w:t>
      </w:r>
      <w:r>
        <w:rPr>
          <w:rFonts w:hint="cs"/>
          <w:rtl/>
        </w:rPr>
        <w:t xml:space="preserve"> של חובת הדיווח. המבקשת טוענת </w:t>
      </w:r>
      <w:r w:rsidR="00FE3EDC">
        <w:rPr>
          <w:rFonts w:hint="cs"/>
          <w:rtl/>
        </w:rPr>
        <w:t xml:space="preserve">כי </w:t>
      </w:r>
      <w:r>
        <w:rPr>
          <w:rFonts w:hint="cs"/>
          <w:rtl/>
        </w:rPr>
        <w:t>חובת הדיווח, כשלעצמה וביתר שאת במתכונת המורחבת עליה הורה בית המשפט המחוזי, פוגעת בצורה משמעותית בזכות לפרטיות ובזכות לקבלת טיפול רפואי, שהן זכויות יסוד חוקתיות, מבלי שמתקיימים תנאיה של פסקת ההגבלה הקבועה בחוק יסוד: כבוד האדם וחירותו. על כן, נטען כי יש להורות על בטלותה.</w:t>
      </w:r>
    </w:p>
    <w:p w14:paraId="1EA7DB0B" w14:textId="77777777" w:rsidR="006A687A" w:rsidRDefault="006A687A" w:rsidP="006A687A">
      <w:pPr>
        <w:pStyle w:val="Ruller41"/>
        <w:rPr>
          <w:rtl/>
        </w:rPr>
      </w:pPr>
    </w:p>
    <w:p w14:paraId="288AF19D" w14:textId="39D6FA05" w:rsidR="006A687A" w:rsidRDefault="006A687A" w:rsidP="005E1A05">
      <w:pPr>
        <w:pStyle w:val="Ruller41"/>
        <w:rPr>
          <w:rtl/>
        </w:rPr>
      </w:pPr>
      <w:r>
        <w:rPr>
          <w:rFonts w:hint="cs"/>
          <w:rtl/>
        </w:rPr>
        <w:t>31.</w:t>
      </w:r>
      <w:r>
        <w:rPr>
          <w:rFonts w:hint="cs"/>
          <w:rtl/>
        </w:rPr>
        <w:tab/>
        <w:t>לחלופין, ככל שחובת הדיווח לא תבוטל , המבקשת טוענת כי למצער יש לדחות את פרשנותו של בית המשפט המחוזי לגופה, כך שייקבע כי חובת הדיווח החלה על עובדים סוציאליי</w:t>
      </w:r>
      <w:r>
        <w:rPr>
          <w:rFonts w:hint="eastAsia"/>
          <w:rtl/>
        </w:rPr>
        <w:t>ם</w:t>
      </w:r>
      <w:r>
        <w:rPr>
          <w:rFonts w:hint="cs"/>
          <w:rtl/>
        </w:rPr>
        <w:t xml:space="preserve"> </w:t>
      </w:r>
      <w:r w:rsidR="005E1A05">
        <w:rPr>
          <w:rFonts w:hint="cs"/>
          <w:rtl/>
        </w:rPr>
        <w:t xml:space="preserve">ובעלי </w:t>
      </w:r>
      <w:r>
        <w:rPr>
          <w:rFonts w:hint="cs"/>
          <w:rtl/>
        </w:rPr>
        <w:t>מקצוע אחרים אינה כוללת חובה למסירת מסמכים טיפוליים או למתן עדות במשטרה ביחס למידע שהתקבל בהליך הטיפולי. המבקשת מוסיפה וטוענת כי יש להורות על הסדר ולפיו ועדות הפטור הסטטוטוריו</w:t>
      </w:r>
      <w:r>
        <w:rPr>
          <w:rFonts w:hint="eastAsia"/>
          <w:rtl/>
        </w:rPr>
        <w:t>ת</w:t>
      </w:r>
      <w:r>
        <w:rPr>
          <w:rFonts w:hint="cs"/>
          <w:rtl/>
        </w:rPr>
        <w:t xml:space="preserve"> מכוח סעיף 368ד(ו) לחוק העונשין ידרשו </w:t>
      </w:r>
      <w:proofErr w:type="spellStart"/>
      <w:r>
        <w:rPr>
          <w:rFonts w:hint="cs"/>
          <w:rtl/>
        </w:rPr>
        <w:t>ליתן</w:t>
      </w:r>
      <w:proofErr w:type="spellEnd"/>
      <w:r>
        <w:rPr>
          <w:rFonts w:hint="cs"/>
          <w:rtl/>
        </w:rPr>
        <w:t xml:space="preserve"> פטור מחובת הדיווח בכל המקרים שבהם המטופל (בין אם נפגע עבירה ובין אם פוגע) או יוזם הטיפול (כגון הורה של קטין נפגע עבירה) חתם טרם התחלת הטיפול על טופס בו הוא הצהיר כי ככל שתחול חובת הדיווח הוא לא יסכים להיכנס להליך טיפולי ולא ימסור מידע אודות הפגיעה. המבקשת אף מוסיפה כי בנסיבות שבהן נחתם טופס כאמור, על בתי המשפט להימנע אף מלהורות על הסרת החיסיון הטיפולי בהתאם לסמכותם מכוח נוסחת האיזון הקבועה בסעיף 50א לפקודה.</w:t>
      </w:r>
    </w:p>
    <w:p w14:paraId="7563EBD9" w14:textId="77777777" w:rsidR="006A687A" w:rsidRDefault="006A687A" w:rsidP="006A687A">
      <w:pPr>
        <w:pStyle w:val="Ruller41"/>
        <w:rPr>
          <w:rtl/>
        </w:rPr>
      </w:pPr>
    </w:p>
    <w:p w14:paraId="155BDF8B" w14:textId="77777777" w:rsidR="006A687A" w:rsidRDefault="006A687A" w:rsidP="006A687A">
      <w:pPr>
        <w:pStyle w:val="Ruller41"/>
        <w:rPr>
          <w:rtl/>
        </w:rPr>
      </w:pPr>
      <w:r>
        <w:rPr>
          <w:rFonts w:hint="cs"/>
          <w:rtl/>
        </w:rPr>
        <w:t>32.</w:t>
      </w:r>
      <w:r>
        <w:rPr>
          <w:rFonts w:hint="cs"/>
          <w:rtl/>
        </w:rPr>
        <w:tab/>
        <w:t xml:space="preserve">בעקבות הגשת הבקשה ביום 22.1.2021 ניתנה בהסכמת הצדדים החלטה שהורתה </w:t>
      </w:r>
      <w:r w:rsidR="000F30DA">
        <w:rPr>
          <w:rFonts w:hint="cs"/>
          <w:rtl/>
        </w:rPr>
        <w:t xml:space="preserve">על </w:t>
      </w:r>
      <w:r>
        <w:rPr>
          <w:rFonts w:hint="cs"/>
          <w:rtl/>
        </w:rPr>
        <w:t>עיכוב ביצוע של החלטת בית המשפט המחוזי עד למתן החלטה אחרת.</w:t>
      </w:r>
    </w:p>
    <w:p w14:paraId="009B86C8" w14:textId="77777777" w:rsidR="006A687A" w:rsidRDefault="006A687A" w:rsidP="006A687A">
      <w:pPr>
        <w:pStyle w:val="Ruller41"/>
        <w:rPr>
          <w:rtl/>
        </w:rPr>
      </w:pPr>
    </w:p>
    <w:p w14:paraId="698E4B5E" w14:textId="535E9D69" w:rsidR="006A687A" w:rsidRDefault="006A687A" w:rsidP="005E085D">
      <w:pPr>
        <w:pStyle w:val="Ruller41"/>
        <w:rPr>
          <w:rtl/>
        </w:rPr>
      </w:pPr>
      <w:r>
        <w:rPr>
          <w:rFonts w:hint="cs"/>
          <w:rtl/>
        </w:rPr>
        <w:t>33.</w:t>
      </w:r>
      <w:r>
        <w:rPr>
          <w:rFonts w:hint="cs"/>
          <w:rtl/>
        </w:rPr>
        <w:tab/>
      </w:r>
      <w:r w:rsidR="005E085D">
        <w:rPr>
          <w:rFonts w:hint="cs"/>
          <w:rtl/>
        </w:rPr>
        <w:t xml:space="preserve">מנגד, </w:t>
      </w:r>
      <w:r>
        <w:rPr>
          <w:rFonts w:hint="cs"/>
          <w:rtl/>
        </w:rPr>
        <w:t xml:space="preserve">המדינה טוענת כי אין מקום למתן רשות הערר בנסיבות העניין. המדינה הדגישה כי טענותיה של המבקשת מופנות כלפי עצם </w:t>
      </w:r>
      <w:proofErr w:type="spellStart"/>
      <w:r>
        <w:rPr>
          <w:rFonts w:hint="cs"/>
          <w:rtl/>
        </w:rPr>
        <w:t>חוקתיותה</w:t>
      </w:r>
      <w:proofErr w:type="spellEnd"/>
      <w:r>
        <w:rPr>
          <w:rFonts w:hint="cs"/>
          <w:rtl/>
        </w:rPr>
        <w:t xml:space="preserve"> של חובת הדיווח, אלא שזו עוגנה בחקיקה בשנת 1989, טרם חקיקתו של חוק יסוד: כבוד האדם וחירותו, ועל כן מוגנת מכוח פסקת שימור הדינים הקבועה בסעיף 10 לחוק היסוד האמור. </w:t>
      </w:r>
    </w:p>
    <w:p w14:paraId="12EE5581" w14:textId="77777777" w:rsidR="006A687A" w:rsidRDefault="006A687A" w:rsidP="006A687A">
      <w:pPr>
        <w:pStyle w:val="Ruller41"/>
        <w:rPr>
          <w:rtl/>
        </w:rPr>
      </w:pPr>
    </w:p>
    <w:p w14:paraId="5C52FA92" w14:textId="77777777" w:rsidR="006A687A" w:rsidRDefault="006A687A" w:rsidP="006A687A">
      <w:pPr>
        <w:pStyle w:val="Ruller41"/>
        <w:rPr>
          <w:rtl/>
        </w:rPr>
      </w:pPr>
      <w:r>
        <w:rPr>
          <w:rFonts w:hint="cs"/>
          <w:rtl/>
        </w:rPr>
        <w:lastRenderedPageBreak/>
        <w:t>34.</w:t>
      </w:r>
      <w:r>
        <w:rPr>
          <w:rtl/>
        </w:rPr>
        <w:tab/>
      </w:r>
      <w:r>
        <w:rPr>
          <w:rFonts w:hint="cs"/>
          <w:rtl/>
        </w:rPr>
        <w:t xml:space="preserve">המדינה מוסיפה, לגופם של דברים, כי ממילא חובת הדיווח עומדת במבחניה של פסקת ההגבלה. המדינה מציינת כי חובת הדיווח הולמת את ערכיה של מדינת ישראל ונועדה לשרת תכלית ראויה </w:t>
      </w:r>
      <w:r>
        <w:rPr>
          <w:rtl/>
        </w:rPr>
        <w:t>–</w:t>
      </w:r>
      <w:r>
        <w:rPr>
          <w:rFonts w:hint="cs"/>
          <w:rtl/>
        </w:rPr>
        <w:t xml:space="preserve"> מתוך מטרה להגן על חייהם, גופם וכבודם של קטינים וחסרי ישע. במסגרת זו, קיימת הצדקה מיוחדת להטלת חובות גילוי מוגברות על גורמים אשר נוכח יחסי קרבה או טיפול עשויים להיחשף למידע קריטי ולעיתים בלעדי אודות פגיעות אלו. המדינה מוסיפה כי חובת הדיווח עומדת אף במבחני המידתיות ומייצרת הסדר מאוזן. כך, המדינה מזכירה כי בהתאם לסעיף 368ד לחוק העונשין, מחויבת המשטרה לקבל לידיה את עמדתו של עובד סוציאלי שמונה לפי חוק, באשר לחקירת החשדות או אי-חקירתם. מעבר לכך, המדינה שבה ומציינת כי במקרים המתאימים קיימת לוועדות הפטור הסטטוטוריו</w:t>
      </w:r>
      <w:r>
        <w:rPr>
          <w:rFonts w:hint="eastAsia"/>
          <w:rtl/>
        </w:rPr>
        <w:t>ת</w:t>
      </w:r>
      <w:r>
        <w:rPr>
          <w:rFonts w:hint="cs"/>
          <w:rtl/>
        </w:rPr>
        <w:t xml:space="preserve"> האפשרות להעניק פטור מלא מהעברת המידע לידי המשטרה.</w:t>
      </w:r>
    </w:p>
    <w:p w14:paraId="7663A288" w14:textId="77777777" w:rsidR="006A687A" w:rsidRDefault="006A687A" w:rsidP="006A687A">
      <w:pPr>
        <w:pStyle w:val="Ruller41"/>
        <w:rPr>
          <w:rtl/>
        </w:rPr>
      </w:pPr>
    </w:p>
    <w:p w14:paraId="675F2008" w14:textId="7867E989" w:rsidR="006A687A" w:rsidRDefault="006A687A" w:rsidP="000F30DA">
      <w:pPr>
        <w:pStyle w:val="Ruller41"/>
        <w:rPr>
          <w:rtl/>
        </w:rPr>
      </w:pPr>
      <w:r>
        <w:rPr>
          <w:rFonts w:hint="cs"/>
          <w:rtl/>
        </w:rPr>
        <w:t>35.</w:t>
      </w:r>
      <w:r>
        <w:rPr>
          <w:rFonts w:hint="cs"/>
          <w:rtl/>
        </w:rPr>
        <w:tab/>
        <w:t>המדינה מציינת כי העובדה שהיא נוהגת לפנות לבתי משפט בבקשות להוצאת צווים להמצאת המסמכים משקפת אך פרקטיקה קיימת, כאשר למעשה יש לה סמכות לקבל מסמכים כאלה אף ללא צו שיפוטי. המדינה מטעימה כי בכל הנוגע לגביית הודעותיהם של הגורמים המטפלים, אין היא נוהגת לפנות לבתי המשפט ובמקרה דנן, כאמור, בית משפט השלום אף סירב להוציא צו בעניין זה. המדינה מדגישה כי גם במקום שבו חל החיסיון הטיפולי אין מדובר בחיסיון מוחלט, וכי לבית המשפט סמכות להורות על מסירת מידע כאמור בהתאם לנוסחת האיזון הקבועה בסעיף 50א לפקודה. בשים לב לכך, המדינה מוסיפה כי יש לדחות אף את טענותי</w:t>
      </w:r>
      <w:r w:rsidR="000F30DA">
        <w:rPr>
          <w:rFonts w:hint="cs"/>
          <w:rtl/>
        </w:rPr>
        <w:t>ה</w:t>
      </w:r>
      <w:r>
        <w:rPr>
          <w:rFonts w:hint="cs"/>
          <w:rtl/>
        </w:rPr>
        <w:t xml:space="preserve"> של המבקש</w:t>
      </w:r>
      <w:r w:rsidR="000F30DA">
        <w:rPr>
          <w:rFonts w:hint="cs"/>
          <w:rtl/>
        </w:rPr>
        <w:t>ת</w:t>
      </w:r>
      <w:r>
        <w:rPr>
          <w:rFonts w:hint="cs"/>
          <w:rtl/>
        </w:rPr>
        <w:t xml:space="preserve"> לפיהן יש להעניק פטור מחובת הדיווח או לחלופין להימנע מהסרת החיסיון הטיפולי במקרים שבהם המטופל הצהיר בתחילת הטיפול כי הוא אינו מעוניין בהעברת תוכן פנייתו למשטרה. המדינה מדגישה כי הצהרות כאמור יהפכו לדבר שבשגרה, וכי גישה שכזו עלולה להנציח את "מעגל השתיקה" האופף עבירות מסוג זה, ובדרך זו לפגוע בתכליתו של ההסדר החקיקתי. </w:t>
      </w:r>
    </w:p>
    <w:p w14:paraId="475CD103" w14:textId="77777777" w:rsidR="006A687A" w:rsidRDefault="006A687A" w:rsidP="006A687A">
      <w:pPr>
        <w:pStyle w:val="Ruller41"/>
        <w:rPr>
          <w:rtl/>
        </w:rPr>
      </w:pPr>
    </w:p>
    <w:p w14:paraId="4ECB2E77" w14:textId="7FB5ADC5" w:rsidR="006A687A" w:rsidRDefault="006A687A" w:rsidP="000F30DA">
      <w:pPr>
        <w:pStyle w:val="Ruller41"/>
        <w:rPr>
          <w:rtl/>
        </w:rPr>
      </w:pPr>
      <w:r>
        <w:rPr>
          <w:rFonts w:hint="cs"/>
          <w:rtl/>
        </w:rPr>
        <w:t>36.</w:t>
      </w:r>
      <w:r>
        <w:rPr>
          <w:rFonts w:hint="cs"/>
          <w:rtl/>
        </w:rPr>
        <w:tab/>
        <w:t xml:space="preserve">באופן קונקרטי, בעניינו של החשוד, המדינה מציינת כי מדובר במסירת מידע שהתקבל מהחשוד בנוגע לעבירת מין שביצע לכאורה בבתו בת השנתיים, בבית המשפחה וללא נוכחות עדים נוספים, וזאת בנסיבות שבהן לחשוד ולאשתו ילדים קטינים נוספים. המדינה אף מציינת כי החשוד עצור בשלב זה בגין ביצוע עבירת מין לכאורה בקטינה אחרת. בנסיבות אלו, המדינה סבורה כי אפילו היו מתקבלות </w:t>
      </w:r>
      <w:r w:rsidR="000F30DA">
        <w:rPr>
          <w:rFonts w:hint="cs"/>
          <w:rtl/>
        </w:rPr>
        <w:t xml:space="preserve">טענותיה </w:t>
      </w:r>
      <w:r>
        <w:rPr>
          <w:rFonts w:hint="cs"/>
          <w:rtl/>
        </w:rPr>
        <w:t xml:space="preserve">של </w:t>
      </w:r>
      <w:r w:rsidR="000F30DA">
        <w:rPr>
          <w:rFonts w:hint="cs"/>
          <w:rtl/>
        </w:rPr>
        <w:t xml:space="preserve">המבקשת </w:t>
      </w:r>
      <w:r>
        <w:rPr>
          <w:rFonts w:hint="cs"/>
          <w:rtl/>
        </w:rPr>
        <w:t xml:space="preserve">באשר להיקפה של חובת הדיווח, הרי שממילא בנסיבות העניין היה מקום להורות על הסרת החיסיון וחשיפת מלוא המידע והתרשומת שבידי הגורם המטפל ואף לחייב את המטפלים למסור בחקירה פרטים הידועים להם ביחס לעבירה, מכוח נוסחת האיזון </w:t>
      </w:r>
      <w:r>
        <w:rPr>
          <w:rFonts w:hint="cs"/>
          <w:rtl/>
        </w:rPr>
        <w:lastRenderedPageBreak/>
        <w:t>הקבועה בסעיף 50א לפקודה. על כן, כך נטען, אין נפקות מעשית במקרה דנן להכרעה בשאלה העקרונית באשר להשלכתה של חובת הדיווח על עיון במסמכים, ואף מהיבט</w:t>
      </w:r>
      <w:r w:rsidR="00E46046">
        <w:rPr>
          <w:rFonts w:hint="cs"/>
          <w:rtl/>
        </w:rPr>
        <w:t xml:space="preserve"> זה יש לדחות את בקשת רשות הערר.</w:t>
      </w:r>
      <w:r>
        <w:rPr>
          <w:rFonts w:hint="cs"/>
          <w:rtl/>
        </w:rPr>
        <w:t xml:space="preserve">  </w:t>
      </w:r>
    </w:p>
    <w:p w14:paraId="63C264EB" w14:textId="77777777" w:rsidR="006A687A" w:rsidRDefault="006A687A" w:rsidP="006A687A">
      <w:pPr>
        <w:pStyle w:val="Ruller41"/>
        <w:rPr>
          <w:rtl/>
        </w:rPr>
      </w:pPr>
    </w:p>
    <w:p w14:paraId="33A67578" w14:textId="2913004B" w:rsidR="006A687A" w:rsidRDefault="006A687A" w:rsidP="005E085D">
      <w:pPr>
        <w:pStyle w:val="Ruller41"/>
        <w:rPr>
          <w:rtl/>
        </w:rPr>
      </w:pPr>
      <w:r>
        <w:rPr>
          <w:rFonts w:hint="cs"/>
          <w:rtl/>
        </w:rPr>
        <w:t>37.</w:t>
      </w:r>
      <w:r>
        <w:rPr>
          <w:rFonts w:hint="cs"/>
          <w:rtl/>
        </w:rPr>
        <w:tab/>
        <w:t>בתשובתה לתגובת המדינה המבקשת העלתה טענה נוספת לפיה קבלת פרשנותו של בית המשפט המחוזי עלולה ליצור בעיה מעשית קשה במצבים שבהם הגורם המטפל נחשף למידע על פגיעה במספר נפגעים, אשר רק לגבי חלקם קיימת חובת דיווח. בנסיבות אלו, קיים קושי</w:t>
      </w:r>
      <w:r w:rsidR="005E085D">
        <w:rPr>
          <w:rFonts w:hint="cs"/>
          <w:rtl/>
        </w:rPr>
        <w:t xml:space="preserve"> לטענתה</w:t>
      </w:r>
      <w:r>
        <w:rPr>
          <w:rFonts w:hint="cs"/>
          <w:rtl/>
        </w:rPr>
        <w:t xml:space="preserve"> להפריד בין מידע ומסמכים אותם יש למסור לרשויות בהתאם לפרשנותו של בית המשפט המחוזי, לבין מידע הקשור בפגיעות אחרות שמסירתו תהווה הפרה של החי</w:t>
      </w:r>
      <w:r w:rsidR="00E46046">
        <w:rPr>
          <w:rFonts w:hint="cs"/>
          <w:rtl/>
        </w:rPr>
        <w:t>סיון וחובת הסודיות.</w:t>
      </w:r>
      <w:r>
        <w:rPr>
          <w:rFonts w:hint="cs"/>
          <w:rtl/>
        </w:rPr>
        <w:t xml:space="preserve"> </w:t>
      </w:r>
    </w:p>
    <w:p w14:paraId="13F55E3A" w14:textId="77777777" w:rsidR="006A687A" w:rsidRDefault="006A687A" w:rsidP="006A687A">
      <w:pPr>
        <w:pStyle w:val="Ruller41"/>
        <w:rPr>
          <w:rtl/>
        </w:rPr>
      </w:pPr>
    </w:p>
    <w:p w14:paraId="472CA48C" w14:textId="1C409DBF" w:rsidR="006A687A" w:rsidRDefault="006A687A" w:rsidP="00FE3EDC">
      <w:pPr>
        <w:pStyle w:val="Ruller41"/>
        <w:rPr>
          <w:rtl/>
        </w:rPr>
      </w:pPr>
      <w:r>
        <w:rPr>
          <w:rFonts w:hint="cs"/>
          <w:rtl/>
        </w:rPr>
        <w:t>38.</w:t>
      </w:r>
      <w:r>
        <w:rPr>
          <w:rFonts w:hint="cs"/>
          <w:rtl/>
        </w:rPr>
        <w:tab/>
        <w:t xml:space="preserve">המבקשת אף דוחה את טענת המדינה כי אין מקום לדון </w:t>
      </w:r>
      <w:proofErr w:type="spellStart"/>
      <w:r>
        <w:rPr>
          <w:rFonts w:hint="cs"/>
          <w:rtl/>
        </w:rPr>
        <w:t>בחוקתיותה</w:t>
      </w:r>
      <w:proofErr w:type="spellEnd"/>
      <w:r>
        <w:rPr>
          <w:rFonts w:hint="cs"/>
          <w:rtl/>
        </w:rPr>
        <w:t xml:space="preserve"> של חובת הדיווח. בהקשר זה המבקשת מטעימה כי סעיף 368ד לחוק העונשין, המסדיר כאמור את חובת הדיווח, תוקן במהלך השנים שלאחר חקיקת חוק יסוד</w:t>
      </w:r>
      <w:r w:rsidR="005E085D">
        <w:rPr>
          <w:rFonts w:hint="cs"/>
          <w:rtl/>
        </w:rPr>
        <w:t>: כבוד האדם וחירותו</w:t>
      </w:r>
      <w:r>
        <w:rPr>
          <w:rFonts w:hint="cs"/>
          <w:rtl/>
        </w:rPr>
        <w:t xml:space="preserve">. זאת במסגרת חוק העונשין (תיקון מס' 56), התש"ס-2000 (בגדרו תוקן סעיף 368ד(ח) לחוק העונשין), תיקון מס' 94 (בגדרו נוספו, בין היתר, סעיפים 368ד(ג1)-368ד(ג3) </w:t>
      </w:r>
      <w:r w:rsidR="00FE3EDC">
        <w:rPr>
          <w:rFonts w:hint="cs"/>
          <w:rtl/>
        </w:rPr>
        <w:t>לחוק העונשין</w:t>
      </w:r>
      <w:r>
        <w:rPr>
          <w:rFonts w:hint="cs"/>
          <w:rtl/>
        </w:rPr>
        <w:t xml:space="preserve">) וחוק העונשין (תיקון מס' 108), התשע"א-2010 (בגדרו הוחלף המינוח "פקיד סעד" בסעיף 368ד </w:t>
      </w:r>
      <w:r w:rsidR="00FE3EDC">
        <w:rPr>
          <w:rFonts w:hint="cs"/>
          <w:rtl/>
        </w:rPr>
        <w:t xml:space="preserve">לחוק העונשין </w:t>
      </w:r>
      <w:r>
        <w:rPr>
          <w:rFonts w:hint="cs"/>
          <w:rtl/>
        </w:rPr>
        <w:t xml:space="preserve">למינוח "עובד סוציאלי שמונה לפי חוק", כקבוע בו היום). על כן, כך נטען, חובת הדיווח אינה חוסה עוד תחת פסקת שימור הדינים הקבועה בחוק יסוד: כבוד האדם וחירותו. המבקשת מוסיפה כי העובדה שעד היום טרם נדונה שאלת </w:t>
      </w:r>
      <w:proofErr w:type="spellStart"/>
      <w:r>
        <w:rPr>
          <w:rFonts w:hint="cs"/>
          <w:rtl/>
        </w:rPr>
        <w:t>חוקתיותה</w:t>
      </w:r>
      <w:proofErr w:type="spellEnd"/>
      <w:r>
        <w:rPr>
          <w:rFonts w:hint="cs"/>
          <w:rtl/>
        </w:rPr>
        <w:t xml:space="preserve"> של חובת הדיווח אינה מהווה הצדקה להימנע מלדון בה כעת. </w:t>
      </w:r>
      <w:r w:rsidR="005E085D">
        <w:rPr>
          <w:rFonts w:hint="cs"/>
          <w:rtl/>
        </w:rPr>
        <w:t>כן</w:t>
      </w:r>
      <w:r>
        <w:rPr>
          <w:rFonts w:hint="cs"/>
          <w:rtl/>
        </w:rPr>
        <w:t xml:space="preserve"> נטען כי אין פסול בעובדה שבנסיבות העניין מדובר ב"תקיפה עקיפה" של סעיף החוק.</w:t>
      </w:r>
    </w:p>
    <w:p w14:paraId="16B161A8" w14:textId="77777777" w:rsidR="006A687A" w:rsidRDefault="006A687A" w:rsidP="006A687A">
      <w:pPr>
        <w:pStyle w:val="Ruller41"/>
        <w:rPr>
          <w:rtl/>
        </w:rPr>
      </w:pPr>
    </w:p>
    <w:p w14:paraId="2DFC38DB" w14:textId="77777777" w:rsidR="006A687A" w:rsidRDefault="006A687A" w:rsidP="006A687A">
      <w:pPr>
        <w:pStyle w:val="Ruller41"/>
        <w:rPr>
          <w:rtl/>
        </w:rPr>
      </w:pPr>
      <w:r>
        <w:rPr>
          <w:rFonts w:hint="cs"/>
          <w:rtl/>
        </w:rPr>
        <w:t>39.</w:t>
      </w:r>
      <w:r>
        <w:rPr>
          <w:rtl/>
        </w:rPr>
        <w:tab/>
      </w:r>
      <w:r>
        <w:rPr>
          <w:rFonts w:hint="cs"/>
          <w:rtl/>
        </w:rPr>
        <w:t xml:space="preserve">המבקשת מציינת כי מכל מקום יש לאמץ פרשנות מידתית של חובת הדיווח בהתאם למתכונת שתוארה בבקשת רשות הערר. בהקשר זה, המבקשת דוחה את טענותיה של המדינה כנגד הצעתה להכיר בפטור מחובת הדיווח ואף להימנע מהסרת החיסיון הטיפולי במקרים שבהם המטופל הצהיר מראש כי אלמלא כן לא היה מתחיל בטיפול. המבקשת מדגישה כי על-פי הצעתה פטור שכזה יינתן אך מקום שבו המטופל ממשיך בטיפול ומשתף פעולה עם הנחיות הגורם המטפל. לשיטתה, במקרים שבהם המטופל מפסיק את הטיפול יש מקום דווקא להרחיב את שיתוף הפעולה של הגורם המטפל והרשויות. </w:t>
      </w:r>
    </w:p>
    <w:p w14:paraId="0CD27A04" w14:textId="6A268B26" w:rsidR="004649AB" w:rsidRDefault="004649AB" w:rsidP="006A687A">
      <w:pPr>
        <w:pStyle w:val="Ruller41"/>
        <w:rPr>
          <w:rtl/>
        </w:rPr>
      </w:pPr>
    </w:p>
    <w:p w14:paraId="63B52D69" w14:textId="31FC6FE0" w:rsidR="00E257F1" w:rsidRDefault="00E257F1" w:rsidP="006A687A">
      <w:pPr>
        <w:pStyle w:val="Ruller41"/>
        <w:rPr>
          <w:rtl/>
        </w:rPr>
      </w:pPr>
    </w:p>
    <w:p w14:paraId="3C5CBC57" w14:textId="7F2A8BDB" w:rsidR="00E257F1" w:rsidRDefault="00E257F1" w:rsidP="006A687A">
      <w:pPr>
        <w:pStyle w:val="Ruller41"/>
        <w:rPr>
          <w:rtl/>
        </w:rPr>
      </w:pPr>
    </w:p>
    <w:p w14:paraId="5AF3AC09" w14:textId="77777777" w:rsidR="006A687A" w:rsidRPr="00B561A2" w:rsidRDefault="006A687A" w:rsidP="006A687A">
      <w:pPr>
        <w:pStyle w:val="Ruller41"/>
        <w:rPr>
          <w:rFonts w:ascii="Century" w:hAnsi="Century" w:cs="Miriam"/>
          <w:b/>
          <w:spacing w:val="0"/>
          <w:szCs w:val="24"/>
          <w:rtl/>
        </w:rPr>
      </w:pPr>
      <w:r w:rsidRPr="00B561A2">
        <w:rPr>
          <w:rFonts w:ascii="Century" w:hAnsi="Century" w:cs="Miriam" w:hint="eastAsia"/>
          <w:b/>
          <w:spacing w:val="0"/>
          <w:szCs w:val="24"/>
          <w:rtl/>
        </w:rPr>
        <w:lastRenderedPageBreak/>
        <w:t>הדיון</w:t>
      </w:r>
      <w:r w:rsidRPr="00B561A2">
        <w:rPr>
          <w:rFonts w:ascii="Century" w:hAnsi="Century" w:cs="Miriam"/>
          <w:b/>
          <w:spacing w:val="0"/>
          <w:szCs w:val="24"/>
          <w:rtl/>
        </w:rPr>
        <w:t xml:space="preserve"> </w:t>
      </w:r>
      <w:r>
        <w:rPr>
          <w:rFonts w:ascii="Century" w:hAnsi="Century" w:cs="Miriam" w:hint="cs"/>
          <w:b/>
          <w:spacing w:val="0"/>
          <w:szCs w:val="24"/>
          <w:rtl/>
        </w:rPr>
        <w:t xml:space="preserve">בפנינו </w:t>
      </w:r>
    </w:p>
    <w:p w14:paraId="511BB926" w14:textId="77777777" w:rsidR="006A687A" w:rsidRDefault="006A687A" w:rsidP="006A687A">
      <w:pPr>
        <w:pStyle w:val="Ruller41"/>
        <w:rPr>
          <w:rtl/>
        </w:rPr>
      </w:pPr>
    </w:p>
    <w:p w14:paraId="2F9AC584" w14:textId="6A4150B8" w:rsidR="006A687A" w:rsidRDefault="006A687A" w:rsidP="00FE3EDC">
      <w:pPr>
        <w:pStyle w:val="Ruller41"/>
        <w:rPr>
          <w:rtl/>
        </w:rPr>
      </w:pPr>
      <w:r>
        <w:rPr>
          <w:rFonts w:hint="cs"/>
          <w:rtl/>
        </w:rPr>
        <w:t xml:space="preserve">40. </w:t>
      </w:r>
      <w:r>
        <w:rPr>
          <w:rFonts w:hint="cs"/>
          <w:rtl/>
        </w:rPr>
        <w:tab/>
        <w:t xml:space="preserve">ביום 16.2.2021 ניתנה החלטה שהורתה על העברתה של </w:t>
      </w:r>
      <w:r w:rsidR="00FE3EDC">
        <w:rPr>
          <w:rFonts w:hint="cs"/>
          <w:rtl/>
        </w:rPr>
        <w:t>בקשת רשות הערר</w:t>
      </w:r>
      <w:r>
        <w:rPr>
          <w:rFonts w:hint="cs"/>
          <w:rtl/>
        </w:rPr>
        <w:t xml:space="preserve"> לדיון בפני הרכב. דיון כאמור התקיים בפנינו ביום 23.2.2021.</w:t>
      </w:r>
    </w:p>
    <w:p w14:paraId="5F982335" w14:textId="77777777" w:rsidR="006A687A" w:rsidRDefault="006A687A" w:rsidP="006A687A">
      <w:pPr>
        <w:pStyle w:val="Ruller41"/>
        <w:rPr>
          <w:rtl/>
        </w:rPr>
      </w:pPr>
    </w:p>
    <w:p w14:paraId="6A8B8251" w14:textId="06F9AF0B" w:rsidR="006A687A" w:rsidRDefault="006A687A" w:rsidP="006A687A">
      <w:pPr>
        <w:pStyle w:val="Ruller41"/>
        <w:rPr>
          <w:rtl/>
        </w:rPr>
      </w:pPr>
      <w:r>
        <w:rPr>
          <w:rFonts w:hint="cs"/>
          <w:rtl/>
        </w:rPr>
        <w:t xml:space="preserve">41. </w:t>
      </w:r>
      <w:r>
        <w:rPr>
          <w:rFonts w:hint="cs"/>
          <w:rtl/>
        </w:rPr>
        <w:tab/>
        <w:t>לקראת הדיון בבקשה הוגשו בקשות מטעם איגוד הקרימינולוגים הקליניים ומטעם הסניגוריה הציבורית להצטרף להליך כידידי בית המשפט. בנסיבות העניין, באי-כוחם אף נכחו בדיון, וכ</w:t>
      </w:r>
      <w:r w:rsidR="00E46046">
        <w:rPr>
          <w:rFonts w:hint="cs"/>
          <w:rtl/>
        </w:rPr>
        <w:t>ך מקצת טענותיהם נשמעו בו בקצרה.</w:t>
      </w:r>
      <w:r>
        <w:rPr>
          <w:rFonts w:hint="cs"/>
          <w:rtl/>
        </w:rPr>
        <w:t xml:space="preserve"> </w:t>
      </w:r>
    </w:p>
    <w:p w14:paraId="05134402" w14:textId="77777777" w:rsidR="006A687A" w:rsidRDefault="006A687A" w:rsidP="006A687A">
      <w:pPr>
        <w:pStyle w:val="Ruller41"/>
        <w:rPr>
          <w:rtl/>
        </w:rPr>
      </w:pPr>
    </w:p>
    <w:p w14:paraId="4F24A764" w14:textId="55321316" w:rsidR="006A687A" w:rsidRDefault="006A687A" w:rsidP="005E085D">
      <w:pPr>
        <w:pStyle w:val="Ruller41"/>
        <w:rPr>
          <w:rtl/>
        </w:rPr>
      </w:pPr>
      <w:r>
        <w:rPr>
          <w:rFonts w:hint="cs"/>
          <w:rtl/>
        </w:rPr>
        <w:t xml:space="preserve">42. </w:t>
      </w:r>
      <w:r>
        <w:rPr>
          <w:rFonts w:hint="cs"/>
          <w:rtl/>
        </w:rPr>
        <w:tab/>
        <w:t xml:space="preserve">בפתח הדיון הודענו כי ניתנת רשות לערור במקרה זה בסוגית היקפה של חובת הדיווח ויחסה לחיסיון המקצועי של העובד הסוציאלי, אך לא בשאלת החוקתיות </w:t>
      </w:r>
      <w:r>
        <w:rPr>
          <w:rtl/>
        </w:rPr>
        <w:t>–</w:t>
      </w:r>
      <w:r>
        <w:rPr>
          <w:rFonts w:hint="cs"/>
          <w:rtl/>
        </w:rPr>
        <w:t xml:space="preserve"> שלא הועלתה כלל בפני הערכאות הקודמות. עם זאת, נעיר כי לכאורה יש טעם בטענת המדינה כי עיקרו של ההסדר בנושא של חובת הדיווח נחקק לפני שנת 1992, נתון שהוא בעל משמעות רבה בהקשר הנוכחי. מכל מקום, משניתנה רשות לערור ההליך שבפנינו יכונה </w:t>
      </w:r>
      <w:r w:rsidRPr="00A861F4">
        <w:rPr>
          <w:rFonts w:ascii="Century" w:hAnsi="Century" w:cs="Miriam" w:hint="eastAsia"/>
          <w:b/>
          <w:spacing w:val="0"/>
          <w:szCs w:val="24"/>
          <w:rtl/>
        </w:rPr>
        <w:t>ערר</w:t>
      </w:r>
      <w:r>
        <w:rPr>
          <w:rFonts w:hint="cs"/>
          <w:rtl/>
        </w:rPr>
        <w:t xml:space="preserve"> והמבקשת תכונה </w:t>
      </w:r>
      <w:r>
        <w:rPr>
          <w:rFonts w:ascii="Century" w:hAnsi="Century" w:cs="Miriam" w:hint="cs"/>
          <w:b/>
          <w:spacing w:val="0"/>
          <w:szCs w:val="24"/>
          <w:rtl/>
        </w:rPr>
        <w:t>העוררת</w:t>
      </w:r>
      <w:r>
        <w:rPr>
          <w:rFonts w:hint="cs"/>
          <w:rtl/>
        </w:rPr>
        <w:t>.</w:t>
      </w:r>
    </w:p>
    <w:p w14:paraId="4C3676AD" w14:textId="77777777" w:rsidR="006A687A" w:rsidRDefault="006A687A" w:rsidP="006A687A">
      <w:pPr>
        <w:pStyle w:val="Ruller41"/>
        <w:rPr>
          <w:rtl/>
        </w:rPr>
      </w:pPr>
    </w:p>
    <w:p w14:paraId="6073B266" w14:textId="1D0620DB" w:rsidR="006A687A" w:rsidRDefault="006A687A" w:rsidP="006A687A">
      <w:pPr>
        <w:pStyle w:val="Ruller41"/>
        <w:rPr>
          <w:rtl/>
        </w:rPr>
      </w:pPr>
      <w:r>
        <w:rPr>
          <w:rFonts w:hint="cs"/>
          <w:rtl/>
        </w:rPr>
        <w:t xml:space="preserve">43. </w:t>
      </w:r>
      <w:r>
        <w:rPr>
          <w:rFonts w:hint="cs"/>
          <w:rtl/>
        </w:rPr>
        <w:tab/>
        <w:t>במהלך הדיון בפנינו חזר והדגיש בא-כוח העוררת את החשיבות הנודעת לשמירה על החיסיון המקצועי, לצורך מניעת אפקט מצנן בפנייה הראשונית לגורם המטפל. בהקשר זה הודגש כי ללא קיומו של מרחב טיפולי מוגן, יימנעו פוגעים מפנייה לקבלת טיפול באופן שעל</w:t>
      </w:r>
      <w:r w:rsidR="00E46046">
        <w:rPr>
          <w:rFonts w:hint="cs"/>
          <w:rtl/>
        </w:rPr>
        <w:t>ול להוביל להמשך פגיעה בקורבנות.</w:t>
      </w:r>
      <w:r>
        <w:rPr>
          <w:rFonts w:hint="cs"/>
          <w:rtl/>
        </w:rPr>
        <w:t xml:space="preserve"> </w:t>
      </w:r>
    </w:p>
    <w:p w14:paraId="518FCDF1" w14:textId="77777777" w:rsidR="006A687A" w:rsidRDefault="006A687A" w:rsidP="006A687A">
      <w:pPr>
        <w:pStyle w:val="Ruller41"/>
        <w:rPr>
          <w:rtl/>
        </w:rPr>
      </w:pPr>
    </w:p>
    <w:p w14:paraId="14DC7D0E" w14:textId="626CE23B" w:rsidR="006A687A" w:rsidRDefault="006A687A" w:rsidP="006A687A">
      <w:pPr>
        <w:pStyle w:val="Ruller41"/>
        <w:rPr>
          <w:rtl/>
        </w:rPr>
      </w:pPr>
      <w:r>
        <w:rPr>
          <w:rFonts w:hint="cs"/>
          <w:rtl/>
        </w:rPr>
        <w:t xml:space="preserve">44. </w:t>
      </w:r>
      <w:r>
        <w:rPr>
          <w:rFonts w:hint="cs"/>
          <w:rtl/>
        </w:rPr>
        <w:tab/>
        <w:t>בא-כוח העוררת טען כי יש להבחין בין חובת הדיווח הראשונית לבין מסירת מסמכים שלא יכולה להיעשות ללא ביקורת שיפוטית, ומבלי שנבחנו מכלול השיקולים הרלוונטיי</w:t>
      </w:r>
      <w:r>
        <w:rPr>
          <w:rFonts w:hint="eastAsia"/>
          <w:rtl/>
        </w:rPr>
        <w:t>ם</w:t>
      </w:r>
      <w:r>
        <w:rPr>
          <w:rFonts w:hint="cs"/>
          <w:rtl/>
        </w:rPr>
        <w:t>, לרבות השלכות הרוחב האפשריות של חשיפת המידע. עוד ציין בא-כוח העוררת, בהתייחס להיבטים נוספים שעלו במהלך הדיון, כי אין מקום לחייב את הגורם הטיפולי לציין במפורש, במסגרת הדיווח שהוא מוסר, את זהות המקור למידע שהקים את חובת הדיווח, ויש להסתפק בתיאור כללי בהיבט זה</w:t>
      </w:r>
      <w:r w:rsidR="00E46046">
        <w:rPr>
          <w:rFonts w:hint="cs"/>
          <w:rtl/>
        </w:rPr>
        <w:t>.</w:t>
      </w:r>
      <w:r>
        <w:rPr>
          <w:rFonts w:hint="cs"/>
          <w:rtl/>
        </w:rPr>
        <w:t xml:space="preserve"> </w:t>
      </w:r>
    </w:p>
    <w:p w14:paraId="69B64824" w14:textId="77777777" w:rsidR="006A687A" w:rsidRDefault="006A687A" w:rsidP="006A687A">
      <w:pPr>
        <w:pStyle w:val="Ruller41"/>
        <w:rPr>
          <w:rtl/>
        </w:rPr>
      </w:pPr>
    </w:p>
    <w:p w14:paraId="10FA86EA" w14:textId="77777777" w:rsidR="006A687A" w:rsidRDefault="006A687A" w:rsidP="006A687A">
      <w:pPr>
        <w:pStyle w:val="Ruller41"/>
        <w:rPr>
          <w:rtl/>
        </w:rPr>
      </w:pPr>
      <w:r>
        <w:rPr>
          <w:rFonts w:hint="cs"/>
          <w:rtl/>
        </w:rPr>
        <w:t xml:space="preserve">45. </w:t>
      </w:r>
      <w:r>
        <w:rPr>
          <w:rFonts w:hint="cs"/>
          <w:rtl/>
        </w:rPr>
        <w:tab/>
        <w:t xml:space="preserve">במסגרת הדיון אף הוצג הפן המעשי של הדברים גם על-ידי מנהל העוררת, עובד סוציאלי במקצועו, שהתייחס לקשיים </w:t>
      </w:r>
      <w:proofErr w:type="spellStart"/>
      <w:r>
        <w:rPr>
          <w:rFonts w:hint="cs"/>
          <w:rtl/>
        </w:rPr>
        <w:t>ולמורכבויות</w:t>
      </w:r>
      <w:proofErr w:type="spellEnd"/>
      <w:r>
        <w:rPr>
          <w:rFonts w:hint="cs"/>
          <w:rtl/>
        </w:rPr>
        <w:t xml:space="preserve"> הנוגעים לאמון שהוא תנאי לפעילותה של עמותה מסוגה, ובפרט כזו הפועלת במגזר החרדי נוכח מאפייניו המיוחדים.</w:t>
      </w:r>
    </w:p>
    <w:p w14:paraId="76167FD1" w14:textId="77777777" w:rsidR="006A687A" w:rsidRDefault="006A687A" w:rsidP="006A687A">
      <w:pPr>
        <w:pStyle w:val="Ruller41"/>
        <w:rPr>
          <w:rtl/>
        </w:rPr>
      </w:pPr>
    </w:p>
    <w:p w14:paraId="583279B3" w14:textId="77777777" w:rsidR="006A687A" w:rsidRDefault="006A687A" w:rsidP="006A687A">
      <w:pPr>
        <w:pStyle w:val="Ruller41"/>
        <w:rPr>
          <w:rtl/>
        </w:rPr>
      </w:pPr>
      <w:r>
        <w:rPr>
          <w:rFonts w:hint="cs"/>
          <w:rtl/>
        </w:rPr>
        <w:lastRenderedPageBreak/>
        <w:t xml:space="preserve">46. </w:t>
      </w:r>
      <w:r>
        <w:rPr>
          <w:rFonts w:hint="cs"/>
          <w:rtl/>
        </w:rPr>
        <w:tab/>
        <w:t>בא-כוח המדינה הציג עמדה מפורטת השונה מזו שהוצגה בערכאות הקודמות, וזאת בעקבות דיונים נוספים שנערכו בנושא. בא-כוח המדינה קיבל את ההבחנה בין חובת הדיווח לבין מסירת מסמכים כך שהאחרונה תיעשה רק בעקבות החלטה שיפוטית, ובלבד שחובת הדיווח תיושם במתכונת "מהותית", כזו שכוללת פירוט רלוונטי בכתב.</w:t>
      </w:r>
    </w:p>
    <w:p w14:paraId="23739CC6" w14:textId="77777777" w:rsidR="006A687A" w:rsidRDefault="006A687A" w:rsidP="006A687A">
      <w:pPr>
        <w:pStyle w:val="Ruller41"/>
        <w:rPr>
          <w:rtl/>
        </w:rPr>
      </w:pPr>
    </w:p>
    <w:p w14:paraId="25521C1E" w14:textId="77777777" w:rsidR="006A687A" w:rsidRDefault="006A687A" w:rsidP="006A687A">
      <w:pPr>
        <w:pStyle w:val="Ruller41"/>
        <w:rPr>
          <w:rtl/>
        </w:rPr>
      </w:pPr>
      <w:r>
        <w:rPr>
          <w:rFonts w:hint="cs"/>
          <w:rtl/>
        </w:rPr>
        <w:t xml:space="preserve">47. </w:t>
      </w:r>
      <w:r>
        <w:rPr>
          <w:rFonts w:hint="cs"/>
          <w:rtl/>
        </w:rPr>
        <w:tab/>
        <w:t xml:space="preserve">בא-כוח המדינה הוסיף והדגיש כי חובת הדיווח היא חובה אישית </w:t>
      </w:r>
      <w:r>
        <w:rPr>
          <w:rtl/>
        </w:rPr>
        <w:t>–</w:t>
      </w:r>
      <w:r>
        <w:rPr>
          <w:rFonts w:hint="cs"/>
          <w:rtl/>
        </w:rPr>
        <w:t xml:space="preserve"> ועל כן ישנה חשיבות כי הגורם הטיפולי שנחשף באופן ישיר למידע שהקים את חובת הדיווח הוא זה שידווח על כך. </w:t>
      </w:r>
    </w:p>
    <w:p w14:paraId="5A0D699D" w14:textId="77777777" w:rsidR="006A687A" w:rsidRDefault="006A687A" w:rsidP="006A687A">
      <w:pPr>
        <w:pStyle w:val="Ruller41"/>
        <w:rPr>
          <w:rtl/>
        </w:rPr>
      </w:pPr>
    </w:p>
    <w:p w14:paraId="4F998726" w14:textId="56F72E4D" w:rsidR="006A687A" w:rsidRDefault="006A687A" w:rsidP="00FE3EDC">
      <w:pPr>
        <w:pStyle w:val="Ruller41"/>
        <w:rPr>
          <w:rtl/>
        </w:rPr>
      </w:pPr>
      <w:r>
        <w:rPr>
          <w:rFonts w:hint="cs"/>
          <w:rtl/>
        </w:rPr>
        <w:t>48.</w:t>
      </w:r>
      <w:r>
        <w:rPr>
          <w:rFonts w:hint="cs"/>
          <w:rtl/>
        </w:rPr>
        <w:tab/>
        <w:t>ביום 28.2.2021, בהתאם לרשות שניתנה לכך בדיון שהתקיים בפנינו, הגישה הסניגוריה הציבורית השלמת טיעון מטעמה. בעיקרו של דבר, הסניגוריה הציבורית צידדה בעמדתה של העוררת בהדגישה כי לשיטתה חובת הדיווח אינה מסיגה כשלעצמה את החיסיון הטיפולי, כך שמסירת מסמכים ועדויות מטעם הגורם המטפל מחייבת נקיטתו של הליך נפרד המכוון להסרת החיסיון. הסניגוריה הציבורית הוסיפה והטעימה כי על המשטרה להימנע ככל הניתן מהגשת בקשות להסרת חיסיון</w:t>
      </w:r>
      <w:r w:rsidR="00FE3EDC">
        <w:rPr>
          <w:rFonts w:hint="cs"/>
          <w:rtl/>
        </w:rPr>
        <w:t xml:space="preserve"> ותחת זאת עליה </w:t>
      </w:r>
      <w:r>
        <w:rPr>
          <w:rFonts w:hint="cs"/>
          <w:rtl/>
        </w:rPr>
        <w:t>לנסות ולמצות את החקירה בדרכים אחרות. באשר לטיב הדיווח שיש למסור לרשויות ציינה הסניגוריה הציבורית כי זה צריך להתבצע על-ידי הגורם המטפל תוך התייחסות לכך שעקב עיסוקו הובאו לידיעתו נתונים שעוררו אצלו חשד סביר לביצועה של עבירה, שטיבה יפורט ככל שהדבר ידוע, תוך ציון זהות הפוגע והנפגע, וכן התייחסות לנתונים נוספים ככל שאלה ידועים, כגון מקום וזמן הפגיעה. עוד הוטעם כי הדיווח עצמו לא נועד לספק למשטרה ראיות.</w:t>
      </w:r>
    </w:p>
    <w:p w14:paraId="4FE291D9" w14:textId="77777777" w:rsidR="006A687A" w:rsidRDefault="006A687A" w:rsidP="006A687A">
      <w:pPr>
        <w:pStyle w:val="Ruller41"/>
        <w:rPr>
          <w:rtl/>
        </w:rPr>
      </w:pPr>
    </w:p>
    <w:p w14:paraId="420211E4" w14:textId="77777777" w:rsidR="006A687A" w:rsidRPr="00B561A2" w:rsidRDefault="006A687A" w:rsidP="006A687A">
      <w:pPr>
        <w:pStyle w:val="Ruller41"/>
        <w:rPr>
          <w:rFonts w:ascii="Century" w:hAnsi="Century" w:cs="Miriam"/>
          <w:b/>
          <w:spacing w:val="0"/>
          <w:szCs w:val="24"/>
          <w:rtl/>
        </w:rPr>
      </w:pPr>
      <w:r w:rsidRPr="00B561A2">
        <w:rPr>
          <w:rFonts w:ascii="Century" w:hAnsi="Century" w:cs="Miriam" w:hint="eastAsia"/>
          <w:b/>
          <w:spacing w:val="0"/>
          <w:szCs w:val="24"/>
          <w:rtl/>
        </w:rPr>
        <w:t>דיון</w:t>
      </w:r>
      <w:r w:rsidRPr="00B561A2">
        <w:rPr>
          <w:rFonts w:ascii="Century" w:hAnsi="Century" w:cs="Miriam"/>
          <w:b/>
          <w:spacing w:val="0"/>
          <w:szCs w:val="24"/>
          <w:rtl/>
        </w:rPr>
        <w:t xml:space="preserve"> </w:t>
      </w:r>
      <w:r w:rsidRPr="00B561A2">
        <w:rPr>
          <w:rFonts w:ascii="Century" w:hAnsi="Century" w:cs="Miriam" w:hint="eastAsia"/>
          <w:b/>
          <w:spacing w:val="0"/>
          <w:szCs w:val="24"/>
          <w:rtl/>
        </w:rPr>
        <w:t>והכרעה</w:t>
      </w:r>
    </w:p>
    <w:p w14:paraId="64752C6C" w14:textId="77777777" w:rsidR="006A687A" w:rsidRDefault="006A687A" w:rsidP="006A687A">
      <w:pPr>
        <w:pStyle w:val="Ruller41"/>
        <w:rPr>
          <w:rtl/>
        </w:rPr>
      </w:pPr>
    </w:p>
    <w:p w14:paraId="7E3607D8" w14:textId="77777777" w:rsidR="006A687A" w:rsidRDefault="006A687A" w:rsidP="006A687A">
      <w:pPr>
        <w:pStyle w:val="Ruller41"/>
        <w:rPr>
          <w:rtl/>
        </w:rPr>
      </w:pPr>
      <w:r>
        <w:rPr>
          <w:rFonts w:hint="cs"/>
          <w:rtl/>
        </w:rPr>
        <w:t xml:space="preserve">49. </w:t>
      </w:r>
      <w:r>
        <w:rPr>
          <w:rFonts w:hint="cs"/>
          <w:rtl/>
        </w:rPr>
        <w:tab/>
      </w:r>
      <w:r w:rsidRPr="002374E1">
        <w:rPr>
          <w:rFonts w:hint="eastAsia"/>
          <w:rtl/>
        </w:rPr>
        <w:t>לאחר</w:t>
      </w:r>
      <w:r w:rsidRPr="002374E1">
        <w:rPr>
          <w:rtl/>
        </w:rPr>
        <w:t xml:space="preserve"> </w:t>
      </w:r>
      <w:r w:rsidRPr="002374E1">
        <w:rPr>
          <w:rFonts w:hint="eastAsia"/>
          <w:rtl/>
        </w:rPr>
        <w:t>שבחנתי</w:t>
      </w:r>
      <w:r w:rsidRPr="002374E1">
        <w:rPr>
          <w:rtl/>
        </w:rPr>
        <w:t xml:space="preserve"> </w:t>
      </w:r>
      <w:r w:rsidRPr="002374E1">
        <w:rPr>
          <w:rFonts w:hint="eastAsia"/>
          <w:rtl/>
        </w:rPr>
        <w:t>את</w:t>
      </w:r>
      <w:r w:rsidRPr="002374E1">
        <w:rPr>
          <w:rtl/>
        </w:rPr>
        <w:t xml:space="preserve"> </w:t>
      </w:r>
      <w:r w:rsidRPr="002374E1">
        <w:rPr>
          <w:rFonts w:hint="eastAsia"/>
          <w:rtl/>
        </w:rPr>
        <w:t>טענות</w:t>
      </w:r>
      <w:r w:rsidRPr="002374E1">
        <w:rPr>
          <w:rtl/>
        </w:rPr>
        <w:t xml:space="preserve"> </w:t>
      </w:r>
      <w:r w:rsidRPr="002374E1">
        <w:rPr>
          <w:rFonts w:hint="eastAsia"/>
          <w:rtl/>
        </w:rPr>
        <w:t>הצדדים</w:t>
      </w:r>
      <w:r w:rsidRPr="002374E1">
        <w:rPr>
          <w:rtl/>
        </w:rPr>
        <w:t xml:space="preserve"> </w:t>
      </w:r>
      <w:r w:rsidRPr="002374E1">
        <w:rPr>
          <w:rFonts w:hint="eastAsia"/>
          <w:rtl/>
        </w:rPr>
        <w:t>הגעתי</w:t>
      </w:r>
      <w:r w:rsidRPr="002374E1">
        <w:rPr>
          <w:rtl/>
        </w:rPr>
        <w:t xml:space="preserve"> </w:t>
      </w:r>
      <w:r w:rsidRPr="002374E1">
        <w:rPr>
          <w:rFonts w:hint="eastAsia"/>
          <w:rtl/>
        </w:rPr>
        <w:t>לכלל</w:t>
      </w:r>
      <w:r w:rsidRPr="002374E1">
        <w:rPr>
          <w:rtl/>
        </w:rPr>
        <w:t xml:space="preserve"> </w:t>
      </w:r>
      <w:r w:rsidRPr="002374E1">
        <w:rPr>
          <w:rFonts w:hint="eastAsia"/>
          <w:rtl/>
        </w:rPr>
        <w:t>דעה</w:t>
      </w:r>
      <w:r w:rsidRPr="002374E1">
        <w:rPr>
          <w:rtl/>
        </w:rPr>
        <w:t xml:space="preserve"> </w:t>
      </w:r>
      <w:r w:rsidRPr="002374E1">
        <w:rPr>
          <w:rFonts w:hint="eastAsia"/>
          <w:rtl/>
        </w:rPr>
        <w:t>כי</w:t>
      </w:r>
      <w:r w:rsidRPr="002374E1">
        <w:rPr>
          <w:rtl/>
        </w:rPr>
        <w:t xml:space="preserve"> </w:t>
      </w:r>
      <w:r w:rsidRPr="002374E1">
        <w:rPr>
          <w:rFonts w:hint="eastAsia"/>
          <w:rtl/>
        </w:rPr>
        <w:t>דין</w:t>
      </w:r>
      <w:r w:rsidRPr="002374E1">
        <w:rPr>
          <w:rtl/>
        </w:rPr>
        <w:t xml:space="preserve"> </w:t>
      </w:r>
      <w:r w:rsidRPr="002374E1">
        <w:rPr>
          <w:rFonts w:hint="eastAsia"/>
          <w:rtl/>
        </w:rPr>
        <w:t>הערר</w:t>
      </w:r>
      <w:r w:rsidRPr="002374E1">
        <w:rPr>
          <w:rtl/>
        </w:rPr>
        <w:t xml:space="preserve"> </w:t>
      </w:r>
      <w:r w:rsidRPr="002374E1">
        <w:rPr>
          <w:rFonts w:hint="eastAsia"/>
          <w:rtl/>
        </w:rPr>
        <w:t>להתקבל</w:t>
      </w:r>
      <w:r w:rsidRPr="002374E1">
        <w:rPr>
          <w:rtl/>
        </w:rPr>
        <w:t xml:space="preserve">, </w:t>
      </w:r>
      <w:r w:rsidRPr="002374E1">
        <w:rPr>
          <w:rFonts w:hint="eastAsia"/>
          <w:rtl/>
        </w:rPr>
        <w:t>וכך</w:t>
      </w:r>
      <w:r w:rsidRPr="002374E1">
        <w:rPr>
          <w:rtl/>
        </w:rPr>
        <w:t xml:space="preserve"> </w:t>
      </w:r>
      <w:r w:rsidRPr="002374E1">
        <w:rPr>
          <w:rFonts w:hint="eastAsia"/>
          <w:rtl/>
        </w:rPr>
        <w:t>אציע</w:t>
      </w:r>
      <w:r w:rsidRPr="002374E1">
        <w:rPr>
          <w:rtl/>
        </w:rPr>
        <w:t xml:space="preserve"> </w:t>
      </w:r>
      <w:r w:rsidRPr="002374E1">
        <w:rPr>
          <w:rFonts w:hint="eastAsia"/>
          <w:rtl/>
        </w:rPr>
        <w:t>לחבריי</w:t>
      </w:r>
      <w:r w:rsidRPr="002374E1">
        <w:rPr>
          <w:rtl/>
        </w:rPr>
        <w:t xml:space="preserve"> </w:t>
      </w:r>
      <w:r w:rsidRPr="002374E1">
        <w:rPr>
          <w:rFonts w:hint="eastAsia"/>
          <w:rtl/>
        </w:rPr>
        <w:t>לעשות</w:t>
      </w:r>
      <w:r w:rsidRPr="002374E1">
        <w:rPr>
          <w:rtl/>
        </w:rPr>
        <w:t xml:space="preserve">. </w:t>
      </w:r>
      <w:r>
        <w:rPr>
          <w:rFonts w:hint="cs"/>
          <w:rtl/>
        </w:rPr>
        <w:t>בעקבות הדיון שהתקיים בפנינו, כפי שהדברים תוארו להלן, דומה שהפערים בין הצדדים הצטמצמו במידה רבה ולמעשה לא נותרה עוד מחלוקת מהותית באשר להיקפה של חובת הדיווח. אם כן, נקודת המוצא המשותפת לצדדים כולם היא ההכרה בחשיבות השמירה על החיסיון הטיפולי ו</w:t>
      </w:r>
      <w:r w:rsidR="005E1A05">
        <w:rPr>
          <w:rFonts w:hint="cs"/>
          <w:rtl/>
        </w:rPr>
        <w:t xml:space="preserve">על </w:t>
      </w:r>
      <w:r>
        <w:rPr>
          <w:rFonts w:hint="cs"/>
          <w:rtl/>
        </w:rPr>
        <w:t xml:space="preserve">מכלול האינטרסים המוגנים בו לצד קיומה של חובת הדיווח. בשלב זה, אף המדינה אינה עומדת עוד על דיווח במתכונת של מסירת כלל המסמכים הטיפוליים, כפי שהורה בית המשפט המחוזי. </w:t>
      </w:r>
    </w:p>
    <w:p w14:paraId="79D7D6C9" w14:textId="77777777" w:rsidR="006A687A" w:rsidRDefault="006A687A" w:rsidP="006A687A">
      <w:pPr>
        <w:pStyle w:val="Ruller41"/>
        <w:rPr>
          <w:rtl/>
        </w:rPr>
      </w:pPr>
    </w:p>
    <w:p w14:paraId="6857DDD2" w14:textId="07C80401" w:rsidR="006A687A" w:rsidRDefault="006A687A" w:rsidP="006A687A">
      <w:pPr>
        <w:pStyle w:val="Ruller41"/>
        <w:rPr>
          <w:rtl/>
        </w:rPr>
      </w:pPr>
      <w:r>
        <w:rPr>
          <w:rFonts w:hint="cs"/>
          <w:rtl/>
        </w:rPr>
        <w:t xml:space="preserve">50. </w:t>
      </w:r>
      <w:r>
        <w:rPr>
          <w:rFonts w:hint="cs"/>
          <w:rtl/>
        </w:rPr>
        <w:tab/>
        <w:t xml:space="preserve">בפתח הדברים אציין את המובן מאליו: בעל מקצוע טיפולי שנחשף למידע המקים יסוד סביר להניח כי נעברו עבירות כאמור בקטין או בחסר ישע, בהתאם לחלופות </w:t>
      </w:r>
      <w:r>
        <w:rPr>
          <w:rFonts w:hint="cs"/>
          <w:rtl/>
        </w:rPr>
        <w:lastRenderedPageBreak/>
        <w:t>הקבועות בסעיפים 368ד(ב) ו-368ד(ג2)</w:t>
      </w:r>
      <w:r w:rsidR="00FE3EDC">
        <w:rPr>
          <w:rFonts w:hint="cs"/>
          <w:rtl/>
        </w:rPr>
        <w:t xml:space="preserve"> לחוק העונשין</w:t>
      </w:r>
      <w:r>
        <w:rPr>
          <w:rFonts w:hint="cs"/>
          <w:rtl/>
        </w:rPr>
        <w:t>, חייב לדווח על כך לגורמים המוסמכים.</w:t>
      </w:r>
    </w:p>
    <w:p w14:paraId="0DE5A46C" w14:textId="77777777" w:rsidR="006A687A" w:rsidRDefault="006A687A" w:rsidP="006A687A">
      <w:pPr>
        <w:pStyle w:val="Ruller41"/>
        <w:rPr>
          <w:rtl/>
        </w:rPr>
      </w:pPr>
    </w:p>
    <w:p w14:paraId="3DE182A0" w14:textId="77777777" w:rsidR="006A687A" w:rsidRDefault="006A687A" w:rsidP="006A687A">
      <w:pPr>
        <w:pStyle w:val="Ruller41"/>
        <w:rPr>
          <w:rtl/>
        </w:rPr>
      </w:pPr>
      <w:r>
        <w:rPr>
          <w:rFonts w:hint="cs"/>
          <w:rtl/>
        </w:rPr>
        <w:t>51.</w:t>
      </w:r>
      <w:r>
        <w:rPr>
          <w:rFonts w:hint="cs"/>
          <w:rtl/>
        </w:rPr>
        <w:tab/>
        <w:t xml:space="preserve">לצד זאת, ועל כך כאמור המדינה אינה חולקת עוד, חובת הדיווח אינה כוללת, כשלעצמה ובאופן אוטומטי, גם חובה למסור מסמכים ותרשומות גולמיים מתוך התיק הטיפולי. על כן, "דרך המלך" לקבלת מסמכים מן הסוג האמור, כמפורט להלן, עוברת בפנייה של רשויות החקירה לבית המשפט המוסמך בבקשה מתאימה למתן צו להמצאת מסמכים. </w:t>
      </w:r>
    </w:p>
    <w:p w14:paraId="0F5D013B" w14:textId="77777777" w:rsidR="006A687A" w:rsidRDefault="006A687A" w:rsidP="006A687A">
      <w:pPr>
        <w:pStyle w:val="Ruller41"/>
        <w:rPr>
          <w:rtl/>
        </w:rPr>
      </w:pPr>
    </w:p>
    <w:p w14:paraId="7E04E462" w14:textId="0352B714" w:rsidR="006A687A" w:rsidRDefault="006A687A" w:rsidP="006A687A">
      <w:pPr>
        <w:pStyle w:val="Ruller41"/>
        <w:rPr>
          <w:rtl/>
        </w:rPr>
      </w:pPr>
      <w:r>
        <w:rPr>
          <w:rFonts w:hint="cs"/>
          <w:rtl/>
        </w:rPr>
        <w:t xml:space="preserve">52. </w:t>
      </w:r>
      <w:r>
        <w:rPr>
          <w:rtl/>
        </w:rPr>
        <w:tab/>
      </w:r>
      <w:r>
        <w:rPr>
          <w:rFonts w:hint="cs"/>
          <w:rtl/>
        </w:rPr>
        <w:t>עוד יש להדגיש, כי על הדיווח שאותו</w:t>
      </w:r>
      <w:r w:rsidR="00E46046">
        <w:rPr>
          <w:rFonts w:hint="cs"/>
          <w:rtl/>
        </w:rPr>
        <w:t xml:space="preserve"> נדרש הגורם הטיפולי למסור להיות</w:t>
      </w:r>
      <w:r>
        <w:rPr>
          <w:rFonts w:hint="cs"/>
          <w:rtl/>
        </w:rPr>
        <w:t xml:space="preserve"> "מהותי", כפי שציינה המדינה, דהיינו דיווח שיכול לתת לרשויות את מלוא הפרטים הרלוונטיים החשובים לחקירה אפקטיבית, ככל שאלה בידיו של המטפל. הדיווח אינו יכול להיות לאקוני ופורמאלי. עליו לכלול זיהוי ברור של הגורם הפוגע שלגביו הוא מתייחס, כמו גם של הקטין או חסר הישע שנפגעו לכאורה, תיאור מלא באשר למהות המעשים והאירועים בגינם קם יסוד סביר להניח שנעברה עבירה, לרבות נסיבותיהם ותדירותם וכן פירוט אודות המועד והנסיבות בהם נמסר המידע לגורם הטיפולי. הכול, כמובן, כאשר פרטים אלה נמצאים בידיו של הגורם המטפל.</w:t>
      </w:r>
    </w:p>
    <w:p w14:paraId="1CBA8D66" w14:textId="77777777" w:rsidR="006A687A" w:rsidRDefault="006A687A" w:rsidP="006A687A">
      <w:pPr>
        <w:pStyle w:val="Ruller41"/>
        <w:rPr>
          <w:rtl/>
        </w:rPr>
      </w:pPr>
    </w:p>
    <w:p w14:paraId="3BCF3708" w14:textId="77777777" w:rsidR="006A687A" w:rsidRDefault="006A687A" w:rsidP="006A687A">
      <w:pPr>
        <w:pStyle w:val="Ruller41"/>
        <w:rPr>
          <w:rtl/>
        </w:rPr>
      </w:pPr>
      <w:r>
        <w:rPr>
          <w:rFonts w:hint="cs"/>
          <w:rtl/>
        </w:rPr>
        <w:t>53.</w:t>
      </w:r>
      <w:r>
        <w:rPr>
          <w:rFonts w:hint="cs"/>
          <w:rtl/>
        </w:rPr>
        <w:tab/>
        <w:t>כפי שמוסבר להלן, מתכונת דיווח זו מתיישבת עם החתירה להגשים את התכליות החשובות הניצבות ביסוד חובת הדיווח, מחד גיסא, ועם השמירה על האינטרסים החברתיים בהבטחת הסודיות הטיפולית, מאידך גיסא.</w:t>
      </w:r>
    </w:p>
    <w:p w14:paraId="177EF17F" w14:textId="77777777" w:rsidR="006A687A" w:rsidRDefault="006A687A" w:rsidP="006A687A">
      <w:pPr>
        <w:pStyle w:val="Ruller41"/>
        <w:rPr>
          <w:rtl/>
        </w:rPr>
      </w:pPr>
    </w:p>
    <w:p w14:paraId="7C034277" w14:textId="77777777" w:rsidR="006A687A" w:rsidRDefault="006A687A" w:rsidP="006A687A">
      <w:pPr>
        <w:pStyle w:val="Ruller41"/>
        <w:rPr>
          <w:rtl/>
        </w:rPr>
      </w:pPr>
      <w:r>
        <w:rPr>
          <w:rFonts w:hint="cs"/>
          <w:rtl/>
        </w:rPr>
        <w:t>54.</w:t>
      </w:r>
      <w:r>
        <w:rPr>
          <w:rFonts w:hint="cs"/>
          <w:rtl/>
        </w:rPr>
        <w:tab/>
        <w:t xml:space="preserve">אכן, קיים אינטרס חברתי חשוב בהגנה על קטינים וחסרי ישע, אשר נוכח מאפייניהם מועדים ליפול קורבן לביצוע עבירות, מבלי שיש בידם לדווח על כך. הדברים מקבלים משנה תוקף במקרה של עבירות המבוצעות בידי מי שאמור להיות אחראי לקטין או לחסר הישע, ונעשות לא אחת תחת מעטה הסתרה ותוך ניצול האינטימיות של המסגרת הביתית, המקשה על חשיפתן (ראו: </w:t>
      </w:r>
      <w:r w:rsidRPr="006B0B9C">
        <w:rPr>
          <w:rFonts w:ascii="Century" w:hAnsi="Century" w:hint="eastAsia"/>
          <w:rtl/>
        </w:rPr>
        <w:t>מרים</w:t>
      </w:r>
      <w:r w:rsidRPr="006B0B9C">
        <w:rPr>
          <w:rFonts w:ascii="Century" w:hAnsi="Century"/>
          <w:rtl/>
        </w:rPr>
        <w:t xml:space="preserve"> </w:t>
      </w:r>
      <w:proofErr w:type="spellStart"/>
      <w:r w:rsidRPr="006B0B9C">
        <w:rPr>
          <w:rFonts w:ascii="Century" w:hAnsi="Century" w:hint="eastAsia"/>
          <w:rtl/>
        </w:rPr>
        <w:t>פבר</w:t>
      </w:r>
      <w:proofErr w:type="spellEnd"/>
      <w:r w:rsidRPr="006B0B9C">
        <w:rPr>
          <w:rFonts w:ascii="Century" w:hAnsi="Century"/>
          <w:rtl/>
        </w:rPr>
        <w:t xml:space="preserve"> "</w:t>
      </w:r>
      <w:r w:rsidRPr="006B0B9C">
        <w:rPr>
          <w:rFonts w:ascii="Century" w:hAnsi="Century" w:hint="eastAsia"/>
          <w:rtl/>
        </w:rPr>
        <w:t>בין</w:t>
      </w:r>
      <w:r w:rsidRPr="006B0B9C">
        <w:rPr>
          <w:rFonts w:ascii="Century" w:hAnsi="Century"/>
          <w:rtl/>
        </w:rPr>
        <w:t xml:space="preserve"> '</w:t>
      </w:r>
      <w:r w:rsidRPr="006B0B9C">
        <w:rPr>
          <w:rFonts w:ascii="Century" w:hAnsi="Century" w:hint="eastAsia"/>
          <w:rtl/>
        </w:rPr>
        <w:t>טיפולי</w:t>
      </w:r>
      <w:r w:rsidRPr="006B0B9C">
        <w:rPr>
          <w:rFonts w:ascii="Century" w:hAnsi="Century"/>
          <w:rtl/>
        </w:rPr>
        <w:t xml:space="preserve">' </w:t>
      </w:r>
      <w:r w:rsidRPr="006B0B9C">
        <w:rPr>
          <w:rFonts w:ascii="Century" w:hAnsi="Century" w:hint="eastAsia"/>
          <w:rtl/>
        </w:rPr>
        <w:t>ל</w:t>
      </w:r>
      <w:r w:rsidRPr="006B0B9C">
        <w:rPr>
          <w:rFonts w:ascii="Century" w:hAnsi="Century"/>
          <w:rtl/>
        </w:rPr>
        <w:t>'</w:t>
      </w:r>
      <w:r w:rsidRPr="006B0B9C">
        <w:rPr>
          <w:rFonts w:ascii="Century" w:hAnsi="Century" w:hint="eastAsia"/>
          <w:rtl/>
        </w:rPr>
        <w:t>פלילי</w:t>
      </w:r>
      <w:r w:rsidRPr="006B0B9C">
        <w:rPr>
          <w:rFonts w:ascii="Century" w:hAnsi="Century"/>
          <w:rtl/>
        </w:rPr>
        <w:t xml:space="preserve">': </w:t>
      </w:r>
      <w:r w:rsidRPr="006B0B9C">
        <w:rPr>
          <w:rFonts w:ascii="Century" w:hAnsi="Century" w:hint="eastAsia"/>
          <w:rtl/>
        </w:rPr>
        <w:t>חובת</w:t>
      </w:r>
      <w:r w:rsidRPr="006B0B9C">
        <w:rPr>
          <w:rFonts w:ascii="Century" w:hAnsi="Century"/>
          <w:rtl/>
        </w:rPr>
        <w:t xml:space="preserve"> </w:t>
      </w:r>
      <w:r w:rsidRPr="006B0B9C">
        <w:rPr>
          <w:rFonts w:ascii="Century" w:hAnsi="Century" w:hint="eastAsia"/>
          <w:rtl/>
        </w:rPr>
        <w:t>הדיווח</w:t>
      </w:r>
      <w:r w:rsidRPr="006B0B9C">
        <w:rPr>
          <w:rFonts w:ascii="Century" w:hAnsi="Century"/>
          <w:rtl/>
        </w:rPr>
        <w:t xml:space="preserve"> </w:t>
      </w:r>
      <w:r w:rsidRPr="006B0B9C">
        <w:rPr>
          <w:rFonts w:ascii="Century" w:hAnsi="Century" w:hint="eastAsia"/>
          <w:rtl/>
        </w:rPr>
        <w:t>מנקודת</w:t>
      </w:r>
      <w:r w:rsidRPr="006B0B9C">
        <w:rPr>
          <w:rFonts w:ascii="Century" w:hAnsi="Century"/>
          <w:rtl/>
        </w:rPr>
        <w:t xml:space="preserve"> </w:t>
      </w:r>
      <w:r w:rsidRPr="006B0B9C">
        <w:rPr>
          <w:rFonts w:ascii="Century" w:hAnsi="Century" w:hint="eastAsia"/>
          <w:rtl/>
        </w:rPr>
        <w:t>ראותם</w:t>
      </w:r>
      <w:r w:rsidRPr="006B0B9C">
        <w:rPr>
          <w:rFonts w:ascii="Century" w:hAnsi="Century"/>
          <w:rtl/>
        </w:rPr>
        <w:t xml:space="preserve"> </w:t>
      </w:r>
      <w:r w:rsidRPr="006B0B9C">
        <w:rPr>
          <w:rFonts w:ascii="Century" w:hAnsi="Century" w:hint="eastAsia"/>
          <w:rtl/>
        </w:rPr>
        <w:t>של</w:t>
      </w:r>
      <w:r w:rsidRPr="006B0B9C">
        <w:rPr>
          <w:rFonts w:ascii="Century" w:hAnsi="Century"/>
          <w:rtl/>
        </w:rPr>
        <w:t xml:space="preserve"> </w:t>
      </w:r>
      <w:r w:rsidRPr="006B0B9C">
        <w:rPr>
          <w:rFonts w:ascii="Century" w:hAnsi="Century" w:hint="eastAsia"/>
          <w:rtl/>
        </w:rPr>
        <w:t>פקידי</w:t>
      </w:r>
      <w:r w:rsidRPr="006B0B9C">
        <w:rPr>
          <w:rFonts w:ascii="Century" w:hAnsi="Century"/>
          <w:rtl/>
        </w:rPr>
        <w:t xml:space="preserve"> </w:t>
      </w:r>
      <w:r w:rsidRPr="006B0B9C">
        <w:rPr>
          <w:rFonts w:ascii="Century" w:hAnsi="Century" w:hint="eastAsia"/>
          <w:rtl/>
        </w:rPr>
        <w:t>הסעד</w:t>
      </w:r>
      <w:r w:rsidRPr="006B0B9C">
        <w:rPr>
          <w:rFonts w:ascii="Century" w:hAnsi="Century"/>
          <w:rtl/>
        </w:rPr>
        <w:t>"</w:t>
      </w:r>
      <w:r w:rsidRPr="00150603">
        <w:rPr>
          <w:rFonts w:ascii="Century" w:hAnsi="Century" w:cs="Miriam"/>
          <w:b/>
          <w:spacing w:val="0"/>
          <w:szCs w:val="24"/>
          <w:rtl/>
        </w:rPr>
        <w:t xml:space="preserve"> </w:t>
      </w:r>
      <w:r w:rsidRPr="00150603">
        <w:rPr>
          <w:rFonts w:ascii="Century" w:hAnsi="Century" w:cs="Miriam" w:hint="eastAsia"/>
          <w:b/>
          <w:spacing w:val="0"/>
          <w:szCs w:val="24"/>
          <w:rtl/>
        </w:rPr>
        <w:t>משפחה</w:t>
      </w:r>
      <w:r w:rsidRPr="00150603">
        <w:rPr>
          <w:rFonts w:ascii="Century" w:hAnsi="Century" w:cs="Miriam"/>
          <w:b/>
          <w:spacing w:val="0"/>
          <w:szCs w:val="24"/>
          <w:rtl/>
        </w:rPr>
        <w:t xml:space="preserve"> </w:t>
      </w:r>
      <w:r w:rsidRPr="00150603">
        <w:rPr>
          <w:rFonts w:ascii="Century" w:hAnsi="Century" w:cs="Miriam" w:hint="eastAsia"/>
          <w:b/>
          <w:spacing w:val="0"/>
          <w:szCs w:val="24"/>
          <w:rtl/>
        </w:rPr>
        <w:t>במשפט</w:t>
      </w:r>
      <w:r>
        <w:rPr>
          <w:rFonts w:ascii="Century" w:hAnsi="Century" w:cs="Miriam" w:hint="cs"/>
          <w:b/>
          <w:spacing w:val="0"/>
          <w:szCs w:val="24"/>
          <w:rtl/>
        </w:rPr>
        <w:t xml:space="preserve"> </w:t>
      </w:r>
      <w:r w:rsidRPr="0024187E">
        <w:rPr>
          <w:rFonts w:ascii="Century" w:hAnsi="Century" w:hint="eastAsia"/>
          <w:rtl/>
        </w:rPr>
        <w:t>ג</w:t>
      </w:r>
      <w:r w:rsidRPr="0024187E">
        <w:rPr>
          <w:rFonts w:ascii="Century" w:hAnsi="Century"/>
          <w:rtl/>
        </w:rPr>
        <w:t>-</w:t>
      </w:r>
      <w:r w:rsidRPr="0024187E">
        <w:rPr>
          <w:rFonts w:ascii="Century" w:hAnsi="Century" w:hint="eastAsia"/>
          <w:rtl/>
        </w:rPr>
        <w:t>ד</w:t>
      </w:r>
      <w:r w:rsidRPr="00991D4B">
        <w:rPr>
          <w:rFonts w:ascii="Century" w:hAnsi="Century" w:cs="Miriam"/>
          <w:b/>
          <w:spacing w:val="0"/>
          <w:szCs w:val="24"/>
          <w:rtl/>
        </w:rPr>
        <w:t xml:space="preserve"> </w:t>
      </w:r>
      <w:r w:rsidRPr="006B0B9C">
        <w:rPr>
          <w:rFonts w:ascii="Century" w:hAnsi="Century"/>
          <w:rtl/>
        </w:rPr>
        <w:t>347</w:t>
      </w:r>
      <w:r>
        <w:rPr>
          <w:rFonts w:ascii="Century" w:hAnsi="Century" w:hint="cs"/>
          <w:rtl/>
        </w:rPr>
        <w:t>,</w:t>
      </w:r>
      <w:r w:rsidRPr="006B0B9C">
        <w:rPr>
          <w:rFonts w:ascii="Century" w:hAnsi="Century"/>
          <w:rtl/>
        </w:rPr>
        <w:t xml:space="preserve"> 349-348 (2010-2009)</w:t>
      </w:r>
      <w:r w:rsidRPr="004F2281">
        <w:rPr>
          <w:rFonts w:ascii="Century" w:hAnsi="Century"/>
          <w:rtl/>
        </w:rPr>
        <w:t>;</w:t>
      </w:r>
      <w:r>
        <w:rPr>
          <w:rFonts w:ascii="Century" w:hAnsi="Century" w:cs="Miriam" w:hint="cs"/>
          <w:b/>
          <w:spacing w:val="0"/>
          <w:szCs w:val="24"/>
          <w:rtl/>
        </w:rPr>
        <w:t xml:space="preserve"> </w:t>
      </w:r>
      <w:r w:rsidRPr="006B0B9C">
        <w:rPr>
          <w:rFonts w:ascii="Century" w:hAnsi="Century" w:cs="Miriam" w:hint="eastAsia"/>
          <w:b/>
          <w:spacing w:val="0"/>
          <w:szCs w:val="24"/>
          <w:rtl/>
        </w:rPr>
        <w:t>קדמן</w:t>
      </w:r>
      <w:r>
        <w:rPr>
          <w:rFonts w:hint="cs"/>
          <w:rtl/>
        </w:rPr>
        <w:t xml:space="preserve">, בעמ' 343-342; </w:t>
      </w:r>
      <w:r w:rsidRPr="00A04041">
        <w:rPr>
          <w:rFonts w:hint="eastAsia"/>
          <w:rtl/>
        </w:rPr>
        <w:t>עדנה</w:t>
      </w:r>
      <w:r w:rsidRPr="00A04041">
        <w:rPr>
          <w:rtl/>
        </w:rPr>
        <w:t xml:space="preserve"> </w:t>
      </w:r>
      <w:r w:rsidRPr="00A04041">
        <w:rPr>
          <w:rFonts w:hint="eastAsia"/>
          <w:rtl/>
        </w:rPr>
        <w:t>ארבל</w:t>
      </w:r>
      <w:r w:rsidRPr="00A04041">
        <w:rPr>
          <w:rtl/>
        </w:rPr>
        <w:t xml:space="preserve"> "</w:t>
      </w:r>
      <w:r w:rsidRPr="00A04041">
        <w:rPr>
          <w:rFonts w:hint="eastAsia"/>
          <w:rtl/>
        </w:rPr>
        <w:t>הילד</w:t>
      </w:r>
      <w:r w:rsidRPr="00A04041">
        <w:rPr>
          <w:rtl/>
        </w:rPr>
        <w:t xml:space="preserve"> </w:t>
      </w:r>
      <w:r w:rsidRPr="00A04041">
        <w:rPr>
          <w:rFonts w:hint="eastAsia"/>
          <w:rtl/>
        </w:rPr>
        <w:t>בראי</w:t>
      </w:r>
      <w:r w:rsidRPr="00A04041">
        <w:rPr>
          <w:rtl/>
        </w:rPr>
        <w:t xml:space="preserve"> </w:t>
      </w:r>
      <w:r w:rsidRPr="00A04041">
        <w:rPr>
          <w:rFonts w:hint="eastAsia"/>
          <w:rtl/>
        </w:rPr>
        <w:t>המשפט</w:t>
      </w:r>
      <w:r w:rsidRPr="00A04041">
        <w:rPr>
          <w:rtl/>
        </w:rPr>
        <w:t xml:space="preserve">" </w:t>
      </w:r>
      <w:r w:rsidRPr="006B0B9C">
        <w:rPr>
          <w:rFonts w:ascii="Century" w:hAnsi="Century" w:cs="Miriam" w:hint="eastAsia"/>
          <w:b/>
          <w:spacing w:val="0"/>
          <w:szCs w:val="24"/>
          <w:rtl/>
        </w:rPr>
        <w:t>ספר</w:t>
      </w:r>
      <w:r w:rsidRPr="006B0B9C">
        <w:rPr>
          <w:rFonts w:ascii="Century" w:hAnsi="Century" w:cs="Miriam"/>
          <w:b/>
          <w:spacing w:val="0"/>
          <w:szCs w:val="24"/>
          <w:rtl/>
        </w:rPr>
        <w:t xml:space="preserve"> </w:t>
      </w:r>
      <w:r w:rsidRPr="006B0B9C">
        <w:rPr>
          <w:rFonts w:ascii="Century" w:hAnsi="Century" w:cs="Miriam" w:hint="eastAsia"/>
          <w:b/>
          <w:spacing w:val="0"/>
          <w:szCs w:val="24"/>
          <w:rtl/>
        </w:rPr>
        <w:t>דורית</w:t>
      </w:r>
      <w:r w:rsidRPr="006B0B9C">
        <w:rPr>
          <w:rFonts w:ascii="Century" w:hAnsi="Century" w:cs="Miriam"/>
          <w:b/>
          <w:spacing w:val="0"/>
          <w:szCs w:val="24"/>
          <w:rtl/>
        </w:rPr>
        <w:t xml:space="preserve"> </w:t>
      </w:r>
      <w:r w:rsidRPr="006B0B9C">
        <w:rPr>
          <w:rFonts w:ascii="Century" w:hAnsi="Century" w:cs="Miriam" w:hint="eastAsia"/>
          <w:b/>
          <w:spacing w:val="0"/>
          <w:szCs w:val="24"/>
          <w:rtl/>
        </w:rPr>
        <w:t>ביניש</w:t>
      </w:r>
      <w:r>
        <w:rPr>
          <w:rtl/>
        </w:rPr>
        <w:t xml:space="preserve"> 567, 577-576 (2018)</w:t>
      </w:r>
      <w:r>
        <w:rPr>
          <w:rFonts w:hint="cs"/>
          <w:rtl/>
        </w:rPr>
        <w:t xml:space="preserve">). על רקע זה, אין להפריז בחשיבותה של חובת הדיווח שקבע המחוקק, ובפרט בהתייחס לגורמי הטיפול, המצויים פעמים רבות, נוכח אופי תפקידיהם, בעמדה המאפשרת נגישות וחשיפה למידע באשר לפגיעות אלו (ראו: </w:t>
      </w:r>
      <w:r w:rsidRPr="008415ED">
        <w:rPr>
          <w:rFonts w:ascii="Century" w:hAnsi="Century" w:cs="Miriam" w:hint="eastAsia"/>
          <w:b/>
          <w:spacing w:val="0"/>
          <w:szCs w:val="24"/>
          <w:rtl/>
        </w:rPr>
        <w:t>גרין</w:t>
      </w:r>
      <w:r>
        <w:rPr>
          <w:rFonts w:hint="cs"/>
          <w:rtl/>
        </w:rPr>
        <w:t xml:space="preserve">, בעמ' 150-149; נירית פסח "חובת הדיווח במערכת הבריאות" </w:t>
      </w:r>
      <w:r w:rsidRPr="006B0B9C">
        <w:rPr>
          <w:rFonts w:ascii="Century" w:hAnsi="Century" w:cs="Miriam" w:hint="eastAsia"/>
          <w:b/>
          <w:spacing w:val="0"/>
          <w:szCs w:val="24"/>
          <w:rtl/>
        </w:rPr>
        <w:t>משפחה</w:t>
      </w:r>
      <w:r w:rsidRPr="006B0B9C">
        <w:rPr>
          <w:rFonts w:ascii="Century" w:hAnsi="Century" w:cs="Miriam"/>
          <w:b/>
          <w:spacing w:val="0"/>
          <w:szCs w:val="24"/>
          <w:rtl/>
        </w:rPr>
        <w:t xml:space="preserve"> </w:t>
      </w:r>
      <w:r w:rsidRPr="006B0B9C">
        <w:rPr>
          <w:rFonts w:ascii="Century" w:hAnsi="Century" w:cs="Miriam" w:hint="eastAsia"/>
          <w:b/>
          <w:spacing w:val="0"/>
          <w:szCs w:val="24"/>
          <w:rtl/>
        </w:rPr>
        <w:t>במשפט</w:t>
      </w:r>
      <w:r w:rsidRPr="002404CE">
        <w:rPr>
          <w:rFonts w:hint="cs"/>
          <w:rtl/>
        </w:rPr>
        <w:t xml:space="preserve"> </w:t>
      </w:r>
      <w:r>
        <w:rPr>
          <w:rFonts w:hint="cs"/>
          <w:rtl/>
        </w:rPr>
        <w:t>ג-ד 410, 414-410 (2010-2009)).</w:t>
      </w:r>
    </w:p>
    <w:p w14:paraId="2419CB50" w14:textId="77777777" w:rsidR="006A687A" w:rsidRDefault="006A687A" w:rsidP="006A687A">
      <w:pPr>
        <w:pStyle w:val="Ruller41"/>
        <w:rPr>
          <w:rtl/>
        </w:rPr>
      </w:pPr>
    </w:p>
    <w:p w14:paraId="0C998E1D" w14:textId="5248421C" w:rsidR="006A687A" w:rsidRDefault="006A687A" w:rsidP="006A687A">
      <w:pPr>
        <w:pStyle w:val="Ruller41"/>
        <w:rPr>
          <w:rtl/>
        </w:rPr>
      </w:pPr>
      <w:r>
        <w:rPr>
          <w:rFonts w:hint="cs"/>
          <w:rtl/>
        </w:rPr>
        <w:t>55.</w:t>
      </w:r>
      <w:r>
        <w:rPr>
          <w:rFonts w:hint="cs"/>
          <w:rtl/>
        </w:rPr>
        <w:tab/>
        <w:t xml:space="preserve">כאן המקום לשוב ולציין כי לחובת הדיווח מספר </w:t>
      </w:r>
      <w:proofErr w:type="spellStart"/>
      <w:r>
        <w:rPr>
          <w:rFonts w:hint="cs"/>
          <w:rtl/>
        </w:rPr>
        <w:t>רציונלים</w:t>
      </w:r>
      <w:proofErr w:type="spellEnd"/>
      <w:r>
        <w:rPr>
          <w:rFonts w:hint="cs"/>
          <w:rtl/>
        </w:rPr>
        <w:t xml:space="preserve"> שונים (ראו פסקה 13 לעיל). פן אחד שלה נוגע להיבט הטיפולי-מניעתי ולפיו חובת הדיווח נועדה לוודא כי יינקטו הצעדים </w:t>
      </w:r>
      <w:proofErr w:type="spellStart"/>
      <w:r>
        <w:rPr>
          <w:rFonts w:hint="cs"/>
          <w:rtl/>
        </w:rPr>
        <w:t>המייד</w:t>
      </w:r>
      <w:r w:rsidR="00FE3EDC">
        <w:rPr>
          <w:rFonts w:hint="cs"/>
          <w:rtl/>
        </w:rPr>
        <w:t>י</w:t>
      </w:r>
      <w:r>
        <w:rPr>
          <w:rFonts w:hint="cs"/>
          <w:rtl/>
        </w:rPr>
        <w:t>ים</w:t>
      </w:r>
      <w:proofErr w:type="spellEnd"/>
      <w:r>
        <w:rPr>
          <w:rFonts w:hint="cs"/>
          <w:rtl/>
        </w:rPr>
        <w:t xml:space="preserve"> הדרושים לשם הגנה על הקטין או חסר הישע, כגון הרחקת הגורם הפוגע, ובהמשך לכך אף נקיטת צעדים טיפוליים המתאימים בנסיבות העניין (ראו: </w:t>
      </w:r>
      <w:r w:rsidRPr="00590FDE">
        <w:rPr>
          <w:rFonts w:ascii="Century" w:hAnsi="Century" w:cs="Miriam" w:hint="cs"/>
          <w:b/>
          <w:spacing w:val="0"/>
          <w:szCs w:val="24"/>
          <w:rtl/>
        </w:rPr>
        <w:t>בג"ץ 7374/21</w:t>
      </w:r>
      <w:r>
        <w:rPr>
          <w:rFonts w:hint="cs"/>
          <w:rtl/>
        </w:rPr>
        <w:t xml:space="preserve">, בעמ' 541-540; </w:t>
      </w:r>
      <w:r w:rsidRPr="00867B11">
        <w:rPr>
          <w:rFonts w:ascii="Century" w:hAnsi="Century" w:cs="Miriam" w:hint="eastAsia"/>
          <w:b/>
          <w:spacing w:val="0"/>
          <w:szCs w:val="24"/>
          <w:rtl/>
        </w:rPr>
        <w:t>גרין</w:t>
      </w:r>
      <w:r>
        <w:rPr>
          <w:rFonts w:hint="cs"/>
          <w:rtl/>
        </w:rPr>
        <w:t xml:space="preserve">, בעמ' 159-158). פן נוסף שלה נוגע למיצוי הדין עם הפוגעים. דבר זה בא לידי ביטוי, בין היתר, בעובדה כי חובת הדיווח חלה גם ביחס למעשים שאירעו לפני זמן רב ואף בנסיבות בהן לא נשקפת יותר סכנה </w:t>
      </w:r>
      <w:proofErr w:type="spellStart"/>
      <w:r>
        <w:rPr>
          <w:rFonts w:hint="cs"/>
          <w:rtl/>
        </w:rPr>
        <w:t>מיידית</w:t>
      </w:r>
      <w:proofErr w:type="spellEnd"/>
      <w:r>
        <w:rPr>
          <w:rFonts w:hint="cs"/>
          <w:rtl/>
        </w:rPr>
        <w:t xml:space="preserve"> לקטין או לחסר הישע. במובן זה, חובת הדיווח נועדה להביא לידיעת רשויות החקירה את החשד לביצוע העבירה ולסייע בידיהן להתחיל בחקירה אפקטיבית של החשדות (ראו: </w:t>
      </w:r>
      <w:r w:rsidRPr="00150603">
        <w:rPr>
          <w:rFonts w:hint="eastAsia"/>
          <w:rtl/>
        </w:rPr>
        <w:t>תחיה</w:t>
      </w:r>
      <w:r w:rsidRPr="00150603">
        <w:rPr>
          <w:rtl/>
        </w:rPr>
        <w:t xml:space="preserve"> </w:t>
      </w:r>
      <w:r w:rsidRPr="00150603">
        <w:rPr>
          <w:rFonts w:hint="eastAsia"/>
          <w:rtl/>
        </w:rPr>
        <w:t>שפירא</w:t>
      </w:r>
      <w:r w:rsidRPr="00150603">
        <w:rPr>
          <w:rtl/>
        </w:rPr>
        <w:t xml:space="preserve"> "</w:t>
      </w:r>
      <w:r w:rsidRPr="00150603">
        <w:rPr>
          <w:rFonts w:hint="eastAsia"/>
          <w:rtl/>
        </w:rPr>
        <w:t>חובת</w:t>
      </w:r>
      <w:r w:rsidRPr="00150603">
        <w:rPr>
          <w:rtl/>
        </w:rPr>
        <w:t xml:space="preserve"> </w:t>
      </w:r>
      <w:r w:rsidRPr="00150603">
        <w:rPr>
          <w:rFonts w:hint="eastAsia"/>
          <w:rtl/>
        </w:rPr>
        <w:t>הדיווח</w:t>
      </w:r>
      <w:r w:rsidRPr="00150603">
        <w:rPr>
          <w:rtl/>
        </w:rPr>
        <w:t xml:space="preserve"> </w:t>
      </w:r>
      <w:r w:rsidRPr="00150603">
        <w:rPr>
          <w:rFonts w:hint="eastAsia"/>
          <w:rtl/>
        </w:rPr>
        <w:t>על</w:t>
      </w:r>
      <w:r w:rsidRPr="00150603">
        <w:rPr>
          <w:rtl/>
        </w:rPr>
        <w:t xml:space="preserve"> </w:t>
      </w:r>
      <w:r w:rsidRPr="00150603">
        <w:rPr>
          <w:rFonts w:hint="eastAsia"/>
          <w:rtl/>
        </w:rPr>
        <w:t>עבירות</w:t>
      </w:r>
      <w:r w:rsidRPr="00150603">
        <w:rPr>
          <w:rtl/>
        </w:rPr>
        <w:t xml:space="preserve"> </w:t>
      </w:r>
      <w:r w:rsidRPr="00150603">
        <w:rPr>
          <w:rFonts w:hint="eastAsia"/>
          <w:rtl/>
        </w:rPr>
        <w:t>בקטינים</w:t>
      </w:r>
      <w:r w:rsidRPr="00150603">
        <w:rPr>
          <w:rtl/>
        </w:rPr>
        <w:t xml:space="preserve"> </w:t>
      </w:r>
      <w:r w:rsidRPr="00150603">
        <w:rPr>
          <w:rFonts w:hint="eastAsia"/>
          <w:rtl/>
        </w:rPr>
        <w:t>ובחסרי</w:t>
      </w:r>
      <w:r w:rsidRPr="00150603">
        <w:rPr>
          <w:rtl/>
        </w:rPr>
        <w:t xml:space="preserve"> </w:t>
      </w:r>
      <w:r w:rsidRPr="00150603">
        <w:rPr>
          <w:rFonts w:hint="eastAsia"/>
          <w:rtl/>
        </w:rPr>
        <w:t>ישע</w:t>
      </w:r>
      <w:r w:rsidRPr="00150603">
        <w:rPr>
          <w:rtl/>
        </w:rPr>
        <w:t xml:space="preserve"> </w:t>
      </w:r>
      <w:r w:rsidRPr="00150603">
        <w:rPr>
          <w:rFonts w:hint="eastAsia"/>
          <w:rtl/>
        </w:rPr>
        <w:t>והעצמת</w:t>
      </w:r>
      <w:r w:rsidRPr="00150603">
        <w:rPr>
          <w:rtl/>
        </w:rPr>
        <w:t xml:space="preserve"> </w:t>
      </w:r>
      <w:r w:rsidRPr="00150603">
        <w:rPr>
          <w:rFonts w:hint="eastAsia"/>
          <w:rtl/>
        </w:rPr>
        <w:t>מעמדו</w:t>
      </w:r>
      <w:r w:rsidRPr="00150603">
        <w:rPr>
          <w:rtl/>
        </w:rPr>
        <w:t xml:space="preserve"> </w:t>
      </w:r>
      <w:r w:rsidRPr="00150603">
        <w:rPr>
          <w:rFonts w:hint="eastAsia"/>
          <w:rtl/>
        </w:rPr>
        <w:t>של</w:t>
      </w:r>
      <w:r w:rsidRPr="00150603">
        <w:rPr>
          <w:rtl/>
        </w:rPr>
        <w:t xml:space="preserve"> </w:t>
      </w:r>
      <w:r w:rsidRPr="00150603">
        <w:rPr>
          <w:rFonts w:hint="eastAsia"/>
          <w:rtl/>
        </w:rPr>
        <w:t>פקיד</w:t>
      </w:r>
      <w:r w:rsidRPr="00150603">
        <w:rPr>
          <w:rtl/>
        </w:rPr>
        <w:t xml:space="preserve"> </w:t>
      </w:r>
      <w:r w:rsidRPr="00150603">
        <w:rPr>
          <w:rFonts w:hint="eastAsia"/>
          <w:rtl/>
        </w:rPr>
        <w:t>הסעד</w:t>
      </w:r>
      <w:r w:rsidRPr="00150603">
        <w:rPr>
          <w:rtl/>
        </w:rPr>
        <w:t xml:space="preserve">: </w:t>
      </w:r>
      <w:r w:rsidRPr="00150603">
        <w:rPr>
          <w:rFonts w:hint="eastAsia"/>
          <w:rtl/>
        </w:rPr>
        <w:t>מבט</w:t>
      </w:r>
      <w:r w:rsidRPr="00150603">
        <w:rPr>
          <w:rtl/>
        </w:rPr>
        <w:t xml:space="preserve"> </w:t>
      </w:r>
      <w:r w:rsidRPr="00150603">
        <w:rPr>
          <w:rFonts w:hint="cs"/>
          <w:rtl/>
        </w:rPr>
        <w:t>רטרוספקטיבי</w:t>
      </w:r>
      <w:r w:rsidRPr="00150603">
        <w:rPr>
          <w:rtl/>
        </w:rPr>
        <w:t xml:space="preserve">" </w:t>
      </w:r>
      <w:r w:rsidRPr="006B0B9C">
        <w:rPr>
          <w:rFonts w:ascii="Century" w:hAnsi="Century" w:cs="Miriam" w:hint="eastAsia"/>
          <w:b/>
          <w:spacing w:val="0"/>
          <w:szCs w:val="24"/>
          <w:rtl/>
        </w:rPr>
        <w:t>משפחה</w:t>
      </w:r>
      <w:r w:rsidRPr="006B0B9C">
        <w:rPr>
          <w:rFonts w:ascii="Century" w:hAnsi="Century" w:cs="Miriam"/>
          <w:b/>
          <w:spacing w:val="0"/>
          <w:szCs w:val="24"/>
          <w:rtl/>
        </w:rPr>
        <w:t xml:space="preserve"> </w:t>
      </w:r>
      <w:r w:rsidRPr="006B0B9C">
        <w:rPr>
          <w:rFonts w:ascii="Century" w:hAnsi="Century" w:cs="Miriam" w:hint="eastAsia"/>
          <w:b/>
          <w:spacing w:val="0"/>
          <w:szCs w:val="24"/>
          <w:rtl/>
        </w:rPr>
        <w:t>במשפט</w:t>
      </w:r>
      <w:r>
        <w:rPr>
          <w:rFonts w:hint="cs"/>
          <w:rtl/>
        </w:rPr>
        <w:t xml:space="preserve"> ג-ד</w:t>
      </w:r>
      <w:r w:rsidRPr="00150603">
        <w:rPr>
          <w:rtl/>
        </w:rPr>
        <w:t xml:space="preserve"> 317, 325 (2010-2009)</w:t>
      </w:r>
      <w:r>
        <w:rPr>
          <w:rFonts w:hint="cs"/>
          <w:rtl/>
        </w:rPr>
        <w:t xml:space="preserve">). </w:t>
      </w:r>
    </w:p>
    <w:p w14:paraId="79ED9E09" w14:textId="77777777" w:rsidR="006A687A" w:rsidRDefault="006A687A" w:rsidP="006A687A">
      <w:pPr>
        <w:pStyle w:val="Ruller41"/>
        <w:rPr>
          <w:rtl/>
        </w:rPr>
      </w:pPr>
    </w:p>
    <w:p w14:paraId="2BD4C59E" w14:textId="77777777" w:rsidR="006A687A" w:rsidRDefault="006A687A" w:rsidP="006A687A">
      <w:pPr>
        <w:pStyle w:val="Ruller41"/>
        <w:rPr>
          <w:rtl/>
        </w:rPr>
      </w:pPr>
      <w:r>
        <w:rPr>
          <w:rFonts w:hint="cs"/>
          <w:rtl/>
        </w:rPr>
        <w:t>56.</w:t>
      </w:r>
      <w:r>
        <w:rPr>
          <w:rFonts w:hint="cs"/>
          <w:rtl/>
        </w:rPr>
        <w:tab/>
        <w:t xml:space="preserve">מכל מקום, גם כאשר הדעת ניתנת למכלול התכליות, די במתכונת הדיווח האמורה לעיל כדי להגשימן, מבלי שתתלווה לה בהכרח מסירה של מסמכים טיפוליים. דיווח מהותי על-ידי הגורם הטיפולי, בהתאם למתכונת שתוארה, יכול להבטיח כי בפני הגורמים המוסמכים יעמדו עיקרי הדברים החיוניים לצורך נקיטה בצעדים מתאימים. זאת, הן בהיבט של צעדי מנע וטיפול דחופים והן בהיבט של קידום ומיקוד החקירה בדרך מועילה בשלביה ההתחלתיים. </w:t>
      </w:r>
    </w:p>
    <w:p w14:paraId="1CAE0C1A" w14:textId="77777777" w:rsidR="006A687A" w:rsidRDefault="006A687A" w:rsidP="006A687A">
      <w:pPr>
        <w:pStyle w:val="Ruller41"/>
        <w:rPr>
          <w:rtl/>
        </w:rPr>
      </w:pPr>
    </w:p>
    <w:p w14:paraId="5C1302C8" w14:textId="77777777" w:rsidR="006A687A" w:rsidRDefault="006A687A" w:rsidP="006A687A">
      <w:pPr>
        <w:pStyle w:val="Ruller41"/>
        <w:rPr>
          <w:rtl/>
        </w:rPr>
      </w:pPr>
      <w:r>
        <w:rPr>
          <w:rFonts w:hint="cs"/>
          <w:rtl/>
        </w:rPr>
        <w:t>57.</w:t>
      </w:r>
      <w:r>
        <w:rPr>
          <w:rFonts w:hint="cs"/>
          <w:rtl/>
        </w:rPr>
        <w:tab/>
        <w:t xml:space="preserve">לכאורה, ניתן היה לטעון כי "האויב של הטוב הוא הטוב מאד" במובן זה שמסירת מכלול התיק הטיפולי תוכל לסייע. אולם, טענה מסוג זה אינה נותנת משקל לאינטרסים החברתיים הניצבים ביסוד הסודיות הטיפולית והחיסיון הקשור בה ולפגיעה הנוספת בהם כתוצאה מחשיפת מסמכי התיק הטיפולי (כמפורט בפסקה 4 לעיל). על כך יש להוסיף שחובת הדיווח היא חובת עשה המוטלת מכוח הדין הפלילי, ואף במובן זה יש לנקוט זהירות בהרחבה יתרה שלה (ראו והשוו: </w:t>
      </w:r>
      <w:r w:rsidRPr="001C0DD7">
        <w:rPr>
          <w:rFonts w:hint="eastAsia"/>
          <w:rtl/>
        </w:rPr>
        <w:t>ע</w:t>
      </w:r>
      <w:r w:rsidRPr="001C0DD7">
        <w:rPr>
          <w:rtl/>
        </w:rPr>
        <w:t>"</w:t>
      </w:r>
      <w:r w:rsidRPr="001C0DD7">
        <w:rPr>
          <w:rFonts w:hint="eastAsia"/>
          <w:rtl/>
        </w:rPr>
        <w:t>פ</w:t>
      </w:r>
      <w:r w:rsidRPr="001C0DD7">
        <w:rPr>
          <w:rtl/>
        </w:rPr>
        <w:t xml:space="preserve"> 3417/99 </w:t>
      </w:r>
      <w:r w:rsidRPr="008415ED">
        <w:rPr>
          <w:rFonts w:ascii="Century" w:hAnsi="Century" w:cs="Miriam" w:hint="eastAsia"/>
          <w:b/>
          <w:spacing w:val="0"/>
          <w:szCs w:val="24"/>
          <w:rtl/>
        </w:rPr>
        <w:t>הר</w:t>
      </w:r>
      <w:r w:rsidRPr="008415ED">
        <w:rPr>
          <w:rFonts w:ascii="Century" w:hAnsi="Century" w:cs="Miriam"/>
          <w:b/>
          <w:spacing w:val="0"/>
          <w:szCs w:val="24"/>
          <w:rtl/>
        </w:rPr>
        <w:t>-</w:t>
      </w:r>
      <w:r w:rsidRPr="008415ED">
        <w:rPr>
          <w:rFonts w:ascii="Century" w:hAnsi="Century" w:cs="Miriam" w:hint="eastAsia"/>
          <w:b/>
          <w:spacing w:val="0"/>
          <w:szCs w:val="24"/>
          <w:rtl/>
        </w:rPr>
        <w:t>שפי</w:t>
      </w:r>
      <w:r w:rsidRPr="008415ED">
        <w:rPr>
          <w:rFonts w:ascii="Century" w:hAnsi="Century" w:cs="Miriam"/>
          <w:b/>
          <w:spacing w:val="0"/>
          <w:szCs w:val="24"/>
          <w:rtl/>
        </w:rPr>
        <w:t xml:space="preserve"> </w:t>
      </w:r>
      <w:r w:rsidRPr="008415ED">
        <w:rPr>
          <w:rFonts w:ascii="Century" w:hAnsi="Century" w:cs="Miriam" w:hint="eastAsia"/>
          <w:b/>
          <w:spacing w:val="0"/>
          <w:szCs w:val="24"/>
          <w:rtl/>
        </w:rPr>
        <w:t>נ</w:t>
      </w:r>
      <w:r w:rsidRPr="008415ED">
        <w:rPr>
          <w:rFonts w:ascii="Century" w:hAnsi="Century" w:cs="Miriam"/>
          <w:b/>
          <w:spacing w:val="0"/>
          <w:szCs w:val="24"/>
          <w:rtl/>
        </w:rPr>
        <w:t xml:space="preserve">' </w:t>
      </w:r>
      <w:r w:rsidRPr="008415ED">
        <w:rPr>
          <w:rFonts w:ascii="Century" w:hAnsi="Century" w:cs="Miriam" w:hint="eastAsia"/>
          <w:b/>
          <w:spacing w:val="0"/>
          <w:szCs w:val="24"/>
          <w:rtl/>
        </w:rPr>
        <w:t>מדינת</w:t>
      </w:r>
      <w:r w:rsidRPr="008415ED">
        <w:rPr>
          <w:rFonts w:ascii="Century" w:hAnsi="Century" w:cs="Miriam"/>
          <w:b/>
          <w:spacing w:val="0"/>
          <w:szCs w:val="24"/>
          <w:rtl/>
        </w:rPr>
        <w:t xml:space="preserve"> </w:t>
      </w:r>
      <w:r w:rsidRPr="008415ED">
        <w:rPr>
          <w:rFonts w:ascii="Century" w:hAnsi="Century" w:cs="Miriam" w:hint="eastAsia"/>
          <w:b/>
          <w:spacing w:val="0"/>
          <w:szCs w:val="24"/>
          <w:rtl/>
        </w:rPr>
        <w:t>ישראל</w:t>
      </w:r>
      <w:r w:rsidRPr="001C0DD7">
        <w:rPr>
          <w:rtl/>
        </w:rPr>
        <w:t xml:space="preserve">, </w:t>
      </w:r>
      <w:r w:rsidRPr="001C0DD7">
        <w:rPr>
          <w:rFonts w:hint="eastAsia"/>
          <w:rtl/>
        </w:rPr>
        <w:t>פ</w:t>
      </w:r>
      <w:r w:rsidRPr="001C0DD7">
        <w:rPr>
          <w:rtl/>
        </w:rPr>
        <w:t>"</w:t>
      </w:r>
      <w:r w:rsidRPr="001C0DD7">
        <w:rPr>
          <w:rFonts w:hint="eastAsia"/>
          <w:rtl/>
        </w:rPr>
        <w:t>ד</w:t>
      </w:r>
      <w:r w:rsidRPr="001C0DD7">
        <w:rPr>
          <w:rtl/>
        </w:rPr>
        <w:t xml:space="preserve"> </w:t>
      </w:r>
      <w:proofErr w:type="spellStart"/>
      <w:r w:rsidRPr="001C0DD7">
        <w:rPr>
          <w:rFonts w:hint="eastAsia"/>
          <w:rtl/>
        </w:rPr>
        <w:t>נה</w:t>
      </w:r>
      <w:proofErr w:type="spellEnd"/>
      <w:r w:rsidRPr="001C0DD7">
        <w:rPr>
          <w:rtl/>
        </w:rPr>
        <w:t xml:space="preserve">(2) 735, 748, 762 </w:t>
      </w:r>
      <w:r w:rsidRPr="001C0DD7">
        <w:rPr>
          <w:rFonts w:hint="eastAsia"/>
          <w:rtl/>
        </w:rPr>
        <w:t>ו</w:t>
      </w:r>
      <w:r w:rsidRPr="001C0DD7">
        <w:rPr>
          <w:rtl/>
        </w:rPr>
        <w:t>-813 (2001)</w:t>
      </w:r>
      <w:r>
        <w:rPr>
          <w:rFonts w:hint="cs"/>
          <w:rtl/>
        </w:rPr>
        <w:t xml:space="preserve">). </w:t>
      </w:r>
    </w:p>
    <w:p w14:paraId="605E9B7B" w14:textId="77777777" w:rsidR="006A687A" w:rsidRDefault="006A687A" w:rsidP="006A687A">
      <w:pPr>
        <w:pStyle w:val="Ruller41"/>
        <w:rPr>
          <w:rtl/>
        </w:rPr>
      </w:pPr>
    </w:p>
    <w:p w14:paraId="287F9BF2" w14:textId="14A1F09F" w:rsidR="006A687A" w:rsidRDefault="006A687A" w:rsidP="006A687A">
      <w:pPr>
        <w:pStyle w:val="Ruller41"/>
        <w:rPr>
          <w:rtl/>
        </w:rPr>
      </w:pPr>
      <w:r>
        <w:rPr>
          <w:rFonts w:hint="cs"/>
          <w:rtl/>
        </w:rPr>
        <w:t>58.</w:t>
      </w:r>
      <w:r>
        <w:rPr>
          <w:rFonts w:hint="cs"/>
          <w:rtl/>
        </w:rPr>
        <w:tab/>
        <w:t xml:space="preserve">כמובן, אף בהינתן היקפה האמור של חובת הדיווח, וכפי שיפורט להלן, בפני רשויות החקירה פתוחה תמיד הדרך לפנות בבקשה לבית המשפט להסרת החיסיון הטיפולי ולחשיפת מסמכים בהתאם לנוסחת האיזון הקבועה בפקודה. דרך זו נותנת מענה למצבים </w:t>
      </w:r>
      <w:r w:rsidR="00FE3EDC">
        <w:rPr>
          <w:rFonts w:hint="cs"/>
          <w:rtl/>
        </w:rPr>
        <w:t xml:space="preserve">שבהם אכן קיים צורך חשוב בחשיפת מידע </w:t>
      </w:r>
      <w:r>
        <w:rPr>
          <w:rFonts w:hint="cs"/>
          <w:rtl/>
        </w:rPr>
        <w:t>נוסף, מעבר לזה המתקבל במסגרת חובת הדיו</w:t>
      </w:r>
      <w:r w:rsidR="00E46046">
        <w:rPr>
          <w:rFonts w:hint="cs"/>
          <w:rtl/>
        </w:rPr>
        <w:t>וח, העולה על הנזק הכרוך בחשיפה.</w:t>
      </w:r>
      <w:r>
        <w:rPr>
          <w:rFonts w:hint="cs"/>
          <w:rtl/>
        </w:rPr>
        <w:t xml:space="preserve"> </w:t>
      </w:r>
    </w:p>
    <w:p w14:paraId="428E59B9" w14:textId="77777777" w:rsidR="006A687A" w:rsidRDefault="006A687A" w:rsidP="006A687A">
      <w:pPr>
        <w:pStyle w:val="Ruller41"/>
        <w:rPr>
          <w:rtl/>
        </w:rPr>
      </w:pPr>
    </w:p>
    <w:p w14:paraId="6A14DAA2" w14:textId="34BD1967" w:rsidR="006A687A" w:rsidRDefault="006A687A" w:rsidP="006A687A">
      <w:pPr>
        <w:pStyle w:val="Ruller41"/>
        <w:rPr>
          <w:rtl/>
        </w:rPr>
      </w:pPr>
      <w:r>
        <w:rPr>
          <w:rFonts w:hint="cs"/>
          <w:rtl/>
        </w:rPr>
        <w:lastRenderedPageBreak/>
        <w:t>59.</w:t>
      </w:r>
      <w:r>
        <w:rPr>
          <w:rtl/>
        </w:rPr>
        <w:tab/>
      </w:r>
      <w:r>
        <w:rPr>
          <w:rFonts w:hint="cs"/>
          <w:rtl/>
        </w:rPr>
        <w:t>ניתן להוסיף, כי הגישה האמורה אף נותנת מענה מניה וביה לקשיים אשר עלולים היו להתעורר ככל שחובת הדיווח הייתה כרוכה אף במסירתם של מסמכים טיפוליים (כך, בין היתר, הדבר היה מחייב את הגורם הטיפולי להבחין בין חלקים שרלוונטיים לדיווח לחלקים שאינם רלוונטיים, השחרה של האחרונים ועוד). אף אם אין מדובר בקשיים כבדי משקל, הרי שיש בהם לחדד את הבעייתיות שבהעברת מסמכים מן הסוג האמור ללא שנתקיים קודם לכן הליך שיפוטי סדור.</w:t>
      </w:r>
    </w:p>
    <w:p w14:paraId="5584477A" w14:textId="77777777" w:rsidR="004649AB" w:rsidRDefault="004649AB" w:rsidP="006A687A">
      <w:pPr>
        <w:pStyle w:val="Ruller41"/>
        <w:rPr>
          <w:rtl/>
        </w:rPr>
      </w:pPr>
    </w:p>
    <w:p w14:paraId="51478FDE" w14:textId="77777777" w:rsidR="006A687A" w:rsidRDefault="006A687A" w:rsidP="006A687A">
      <w:pPr>
        <w:pStyle w:val="Ruller41"/>
        <w:rPr>
          <w:rtl/>
        </w:rPr>
      </w:pPr>
      <w:r>
        <w:rPr>
          <w:rFonts w:hint="cs"/>
          <w:rtl/>
        </w:rPr>
        <w:t>60.</w:t>
      </w:r>
      <w:r>
        <w:rPr>
          <w:rFonts w:hint="cs"/>
          <w:rtl/>
        </w:rPr>
        <w:tab/>
        <w:t xml:space="preserve">בהמשך לאמור, ועל מנת שהפן המעשי של הדברים יהא ברור, אני מבקשת להוסיף מספר הבהרות נוספות באשר לטיבה של חובת הדיווח ולסדר הפעולות הנכון במקרים מסוג זה, כפי שאלה התחדדו במהלך הדיון. </w:t>
      </w:r>
    </w:p>
    <w:p w14:paraId="41670F8A" w14:textId="77777777" w:rsidR="006A687A" w:rsidRDefault="006A687A" w:rsidP="006A687A">
      <w:pPr>
        <w:pStyle w:val="Ruller41"/>
        <w:rPr>
          <w:rtl/>
        </w:rPr>
      </w:pPr>
    </w:p>
    <w:p w14:paraId="29CBFD72" w14:textId="77777777" w:rsidR="006A687A" w:rsidRDefault="006A687A" w:rsidP="006A687A">
      <w:pPr>
        <w:pStyle w:val="Ruller41"/>
        <w:rPr>
          <w:rtl/>
        </w:rPr>
      </w:pPr>
      <w:r>
        <w:rPr>
          <w:rFonts w:hint="cs"/>
          <w:rtl/>
        </w:rPr>
        <w:t>61.</w:t>
      </w:r>
      <w:r>
        <w:rPr>
          <w:rFonts w:hint="cs"/>
          <w:rtl/>
        </w:rPr>
        <w:tab/>
        <w:t xml:space="preserve">ראשית, למען הסדר הטוב ועל מנת למנוע אי-בהירות בכל הנוגע לפרטים רגישים, ראוי כי ככלל חובת הדיווח של גורם טיפולי תמומש באמצעות מסירת דיווח </w:t>
      </w:r>
      <w:r w:rsidRPr="00190B34">
        <w:rPr>
          <w:rFonts w:ascii="Century" w:hAnsi="Century" w:cs="Miriam" w:hint="eastAsia"/>
          <w:b/>
          <w:spacing w:val="0"/>
          <w:szCs w:val="24"/>
          <w:rtl/>
        </w:rPr>
        <w:t>כתוב</w:t>
      </w:r>
      <w:r>
        <w:rPr>
          <w:rFonts w:hint="cs"/>
          <w:rtl/>
        </w:rPr>
        <w:t xml:space="preserve"> ומפורט לרשויות המוסמכות, בהתאם לאמור לעיל. זאת, למעט במקרים חריגים שבהם עשויה לקום הצדקה מתאימה לדיווח ראשוני בעל-פה, כגון בנסיבות של דחיפות מיוחדת. מתכונת דיווח זו משקפת את מידת הרצינות הראויה שיש לייחס לחובת הדיווח וצפויה להבטיח כי המידע יימסר ויועבר בצורה מסודרת ובהירה לרשויות. </w:t>
      </w:r>
    </w:p>
    <w:p w14:paraId="11C6CFDD" w14:textId="77777777" w:rsidR="006A687A" w:rsidRDefault="006A687A" w:rsidP="006A687A">
      <w:pPr>
        <w:pStyle w:val="Ruller41"/>
        <w:rPr>
          <w:rtl/>
        </w:rPr>
      </w:pPr>
    </w:p>
    <w:p w14:paraId="132115C6" w14:textId="19658C72" w:rsidR="006A687A" w:rsidRDefault="006A687A" w:rsidP="006A687A">
      <w:pPr>
        <w:pStyle w:val="Ruller41"/>
        <w:rPr>
          <w:rtl/>
        </w:rPr>
      </w:pPr>
      <w:r>
        <w:rPr>
          <w:rFonts w:hint="cs"/>
          <w:rtl/>
        </w:rPr>
        <w:t>62.</w:t>
      </w:r>
      <w:r>
        <w:rPr>
          <w:rFonts w:hint="cs"/>
          <w:rtl/>
        </w:rPr>
        <w:tab/>
        <w:t xml:space="preserve">שנית, יש לשוב ולהבהיר כי חובת הדיווח הינה </w:t>
      </w:r>
      <w:r>
        <w:rPr>
          <w:rFonts w:ascii="Century" w:hAnsi="Century" w:hint="cs"/>
          <w:rtl/>
        </w:rPr>
        <w:t>חובה</w:t>
      </w:r>
      <w:r w:rsidRPr="00E70C2D">
        <w:rPr>
          <w:rFonts w:ascii="Century" w:hAnsi="Century" w:cs="Miriam"/>
          <w:b/>
          <w:spacing w:val="0"/>
          <w:szCs w:val="24"/>
          <w:rtl/>
        </w:rPr>
        <w:t xml:space="preserve"> אישית</w:t>
      </w:r>
      <w:r>
        <w:rPr>
          <w:rFonts w:hint="cs"/>
          <w:rtl/>
        </w:rPr>
        <w:t xml:space="preserve">, </w:t>
      </w:r>
      <w:proofErr w:type="spellStart"/>
      <w:r>
        <w:rPr>
          <w:rFonts w:hint="cs"/>
          <w:rtl/>
        </w:rPr>
        <w:t>וככזו</w:t>
      </w:r>
      <w:proofErr w:type="spellEnd"/>
      <w:r>
        <w:rPr>
          <w:rFonts w:hint="cs"/>
          <w:rtl/>
        </w:rPr>
        <w:t xml:space="preserve"> </w:t>
      </w:r>
      <w:r w:rsidR="005E1A05">
        <w:rPr>
          <w:rFonts w:hint="cs"/>
          <w:rtl/>
        </w:rPr>
        <w:t xml:space="preserve">היא </w:t>
      </w:r>
      <w:r>
        <w:rPr>
          <w:rFonts w:hint="cs"/>
          <w:rtl/>
        </w:rPr>
        <w:t>מוטלת על הגורם הטיפולי הקונקרטי אשר נחשף עקב עיסוקו למידע שהקים את חובת הדיווח. בשים לב לכך, ברי כי גורם טיפולי זה, ולא אדם אחר, הוא שצריך למסור את הדיווח וכן להיות מי שחתום על המסמך הכתוב המועבר לגורמים המוסמכים. במקרים שבהם הגורם הטיפולי פועל כחלק ממוסד או ארגון אין מניעה כי נושאי משרה אחרים בו, כגון מנהל או גורם בכיר אחר, יהיו חתומים אף הם על מסמך הדיווח המועבר לרשויות. לצד זאת, אין להסתפק בדיווח שנכתב ונחתם אך בידי נציגי הארגון, בכירים ככל שיהיו, שאינם הגורם הטיפולי שעלי</w:t>
      </w:r>
      <w:r w:rsidR="00E46046">
        <w:rPr>
          <w:rFonts w:hint="cs"/>
          <w:rtl/>
        </w:rPr>
        <w:t>ו מוטלת חובת הדיווח באופן אישי.</w:t>
      </w:r>
      <w:r>
        <w:rPr>
          <w:rFonts w:hint="cs"/>
          <w:rtl/>
        </w:rPr>
        <w:t xml:space="preserve"> </w:t>
      </w:r>
    </w:p>
    <w:p w14:paraId="774D0127" w14:textId="77777777" w:rsidR="006A687A" w:rsidRDefault="006A687A" w:rsidP="006A687A">
      <w:pPr>
        <w:pStyle w:val="Ruller41"/>
        <w:rPr>
          <w:rtl/>
        </w:rPr>
      </w:pPr>
    </w:p>
    <w:p w14:paraId="60322628" w14:textId="77777777" w:rsidR="006A687A" w:rsidRDefault="006A687A" w:rsidP="006A687A">
      <w:pPr>
        <w:pStyle w:val="Ruller41"/>
        <w:rPr>
          <w:rtl/>
        </w:rPr>
      </w:pPr>
      <w:r>
        <w:rPr>
          <w:rFonts w:hint="cs"/>
          <w:rtl/>
        </w:rPr>
        <w:t>63.</w:t>
      </w:r>
      <w:r>
        <w:rPr>
          <w:rFonts w:hint="cs"/>
          <w:rtl/>
        </w:rPr>
        <w:tab/>
        <w:t>שלישית, ניתן לצפות כי ברגיל הגורם המטפל יציין, כחלק מהדיווח, מיהו המקור שבאמצעותו נחשף למידע, ולמצער כאשר מדובר בדיווח של הפוגע עצמו על מעשיו. בהיבט זה לא מצאתי לקבל את טענתו של בא-כוח העוררת בדיון ולפיה די באזכור כללי לכך שלגורם הטיפול</w:t>
      </w:r>
      <w:r w:rsidR="000F30DA">
        <w:rPr>
          <w:rFonts w:hint="cs"/>
          <w:rtl/>
        </w:rPr>
        <w:t>י</w:t>
      </w:r>
      <w:r>
        <w:rPr>
          <w:rFonts w:hint="cs"/>
          <w:rtl/>
        </w:rPr>
        <w:t xml:space="preserve"> "נודע" או "נמסר" המידע האמור. הבהרה זו מתבקשת בשים לב לתכליותיה של חובת הדיווח ונדרשת לשם פעילותם הראויה של הגורמים המוסמכים, הן בהיבט הטיפולי והן בהיבט החקירתי, כמוסבר להלן.</w:t>
      </w:r>
    </w:p>
    <w:p w14:paraId="7EEEC96F" w14:textId="77777777" w:rsidR="006A687A" w:rsidRDefault="006A687A" w:rsidP="006A687A">
      <w:pPr>
        <w:pStyle w:val="Ruller41"/>
        <w:rPr>
          <w:rtl/>
        </w:rPr>
      </w:pPr>
    </w:p>
    <w:p w14:paraId="29B29FA9" w14:textId="77777777" w:rsidR="006A687A" w:rsidRDefault="006A687A" w:rsidP="006A687A">
      <w:pPr>
        <w:pStyle w:val="Ruller41"/>
        <w:rPr>
          <w:rtl/>
        </w:rPr>
      </w:pPr>
      <w:r>
        <w:rPr>
          <w:rFonts w:hint="cs"/>
          <w:rtl/>
        </w:rPr>
        <w:lastRenderedPageBreak/>
        <w:t>64.</w:t>
      </w:r>
      <w:r>
        <w:rPr>
          <w:rtl/>
        </w:rPr>
        <w:tab/>
      </w:r>
      <w:r>
        <w:rPr>
          <w:rFonts w:hint="cs"/>
          <w:rtl/>
        </w:rPr>
        <w:t xml:space="preserve">מטבע הדברים, לזהותו של הגורם שמסר את המידע עשויה להיות השפעה לא מבוטלת על החלטתו של העובד הסוציאלי שמונה מכוח החוק האם להמליץ למשטרה לפעול ביחס לדיווח שאותו הוא מוסר אם לאו. זאת ועוד, הדבר עשוי להיות חיוני מבחינת המשטרה ורשויות הרווחה, בבואן להחליט באשר לפעולות החקירה ואמצעי הטיפול שיש לנקוט בשלב זה לצורך הגנת הקטין או חסר הישע ולקידום החקירה. במובן זה, באופן טבעי, עשויה להיות הבחנה בין מקרה שבו המידע שהקים את חובת הדיווח הגיע ממקור ישיר (קרי אדם המוסר לגורם המטפל מידע על מעשים שביצע בעצמו או בוצעו בו) לבין מקור שניוני (קרי אדם המוסר בפני הגורם המטפל מידע או חששות ביחס למעשים שנעשו על-ידי אחר). יתרה מכך, המידע האמור עשוי להיות חשוב אף מבחינת השיקולים שאותם נדרשות ועדות הפטור הסטטוטוריות להביא בחשבון, כמוסבר להלן. </w:t>
      </w:r>
    </w:p>
    <w:p w14:paraId="44A3E572" w14:textId="77777777" w:rsidR="006A687A" w:rsidRDefault="006A687A" w:rsidP="006A687A">
      <w:pPr>
        <w:pStyle w:val="Ruller41"/>
        <w:rPr>
          <w:rtl/>
        </w:rPr>
      </w:pPr>
    </w:p>
    <w:p w14:paraId="5EA61217" w14:textId="266C7D6A" w:rsidR="006A687A" w:rsidRDefault="006A687A" w:rsidP="006A687A">
      <w:pPr>
        <w:pStyle w:val="Ruller41"/>
        <w:rPr>
          <w:rtl/>
        </w:rPr>
      </w:pPr>
      <w:r>
        <w:rPr>
          <w:rFonts w:hint="cs"/>
          <w:rtl/>
        </w:rPr>
        <w:t xml:space="preserve">65. </w:t>
      </w:r>
      <w:r>
        <w:rPr>
          <w:rFonts w:hint="cs"/>
          <w:rtl/>
        </w:rPr>
        <w:tab/>
        <w:t>את האמור עד כאן ראוי לחדד ולהבהיר ברמה המעשית. כפי שפורט בהצגת המסגרת הנורמטיבית (ראו פסקה 12 לעיל), בפני גורם טיפולי שנדרש לדווח עומדות שתי חלופות פעולה: מסירת הדיווח במישרין למשטרה או מסירתו לעובד סוציאלי שמונה לפי חוק. ייחודו של אפיק הדיווח האחרון בא כאמור לידי ביטוי באפשרות הפתוחה בפני העובד הסוציאלי שמונה לפי חוק לפנות לאחת מוועדות הפטור הסטטוטוריו</w:t>
      </w:r>
      <w:r>
        <w:rPr>
          <w:rFonts w:hint="eastAsia"/>
          <w:rtl/>
        </w:rPr>
        <w:t>ת</w:t>
      </w:r>
      <w:r>
        <w:rPr>
          <w:rFonts w:hint="cs"/>
          <w:rtl/>
        </w:rPr>
        <w:t xml:space="preserve">, שבסמכותן להחליט כי מכלול האינטרסים תומך באי-העברת הדיווח למשטרה. מטבע הדברים, בהחלטה בסוגיה כאמור נדרשות ועדות הפטור הסטטוטוריות לתת משקל, בין היתר ומבלי שיש בכך </w:t>
      </w:r>
      <w:r w:rsidR="005E1A05">
        <w:rPr>
          <w:rFonts w:hint="cs"/>
          <w:rtl/>
        </w:rPr>
        <w:t xml:space="preserve">כדי </w:t>
      </w:r>
      <w:r>
        <w:rPr>
          <w:rFonts w:hint="cs"/>
          <w:rtl/>
        </w:rPr>
        <w:t>למצות את מכלול השיקולים הרלוונטיי</w:t>
      </w:r>
      <w:r>
        <w:rPr>
          <w:rFonts w:hint="eastAsia"/>
          <w:rtl/>
        </w:rPr>
        <w:t>ם</w:t>
      </w:r>
      <w:r>
        <w:rPr>
          <w:rFonts w:hint="cs"/>
          <w:rtl/>
        </w:rPr>
        <w:t xml:space="preserve">, לטיבה ולחומרתה של העבירה לגביה קמה חובת הדיווח כמו גם לחשש להישנותה, וכן לטובתו של הקטין או חסר הישע, בשים לב לסכנה בה הוא מצוי ולהשלכות האפשרויות עליו כתוצאה מהעברת הדיווח. כך גם יש לתת משקל לצורך בהגנה על הסודיות הטיפולית ובכלל זה להשלכות של העברת הדיווח על המשך קיומו של אפיק טיפולי-שיקומי מתאים לאדם הפוגע, בשים לב ליכולתו של אפיק שכזה לאיין את החשש לפגיעה נוספת ולנכונותו של הפוגע להתמיד בו (ראו: </w:t>
      </w:r>
      <w:r w:rsidRPr="00E70C2D">
        <w:rPr>
          <w:rFonts w:ascii="Century" w:hAnsi="Century" w:cs="Miriam" w:hint="eastAsia"/>
          <w:b/>
          <w:spacing w:val="0"/>
          <w:szCs w:val="24"/>
          <w:rtl/>
        </w:rPr>
        <w:t>נחמני</w:t>
      </w:r>
      <w:r>
        <w:rPr>
          <w:rFonts w:ascii="Century" w:hAnsi="Century" w:cs="Miriam" w:hint="cs"/>
          <w:b/>
          <w:spacing w:val="0"/>
          <w:szCs w:val="24"/>
          <w:rtl/>
        </w:rPr>
        <w:t>-</w:t>
      </w:r>
      <w:r w:rsidRPr="00E70C2D">
        <w:rPr>
          <w:rFonts w:ascii="Century" w:hAnsi="Century" w:cs="Miriam" w:hint="eastAsia"/>
          <w:b/>
          <w:spacing w:val="0"/>
          <w:szCs w:val="24"/>
          <w:rtl/>
        </w:rPr>
        <w:t>רוט</w:t>
      </w:r>
      <w:r>
        <w:rPr>
          <w:rFonts w:hint="cs"/>
          <w:rtl/>
        </w:rPr>
        <w:t xml:space="preserve">, בעמ' 398-389. ראו גם: </w:t>
      </w:r>
      <w:r w:rsidRPr="005D74CC">
        <w:rPr>
          <w:rFonts w:hint="eastAsia"/>
          <w:rtl/>
        </w:rPr>
        <w:t>נוהל</w:t>
      </w:r>
      <w:r w:rsidRPr="005D74CC">
        <w:rPr>
          <w:rtl/>
        </w:rPr>
        <w:t xml:space="preserve"> </w:t>
      </w:r>
      <w:r w:rsidRPr="005D74CC">
        <w:rPr>
          <w:rFonts w:hint="eastAsia"/>
          <w:rtl/>
        </w:rPr>
        <w:t>ועדת</w:t>
      </w:r>
      <w:r w:rsidRPr="005D74CC">
        <w:rPr>
          <w:rtl/>
        </w:rPr>
        <w:t xml:space="preserve"> </w:t>
      </w:r>
      <w:r w:rsidRPr="005D74CC">
        <w:rPr>
          <w:rFonts w:hint="eastAsia"/>
          <w:rtl/>
        </w:rPr>
        <w:t>הפטור</w:t>
      </w:r>
      <w:r w:rsidRPr="005D74CC">
        <w:rPr>
          <w:rtl/>
        </w:rPr>
        <w:t xml:space="preserve"> </w:t>
      </w:r>
      <w:r w:rsidRPr="005D74CC">
        <w:rPr>
          <w:rFonts w:hint="eastAsia"/>
          <w:rtl/>
        </w:rPr>
        <w:t>לפי</w:t>
      </w:r>
      <w:r w:rsidRPr="005D74CC">
        <w:rPr>
          <w:rtl/>
        </w:rPr>
        <w:t xml:space="preserve"> </w:t>
      </w:r>
      <w:r w:rsidRPr="005D74CC">
        <w:rPr>
          <w:rFonts w:hint="eastAsia"/>
          <w:rtl/>
        </w:rPr>
        <w:t>סעיף</w:t>
      </w:r>
      <w:r w:rsidRPr="005D74CC">
        <w:rPr>
          <w:rtl/>
        </w:rPr>
        <w:t xml:space="preserve"> 368</w:t>
      </w:r>
      <w:r w:rsidRPr="005D74CC">
        <w:rPr>
          <w:rFonts w:hint="eastAsia"/>
          <w:rtl/>
        </w:rPr>
        <w:t>ד</w:t>
      </w:r>
      <w:r w:rsidRPr="005D74CC">
        <w:rPr>
          <w:rtl/>
        </w:rPr>
        <w:t xml:space="preserve"> </w:t>
      </w:r>
      <w:r w:rsidRPr="005D74CC">
        <w:rPr>
          <w:rFonts w:hint="eastAsia"/>
          <w:rtl/>
        </w:rPr>
        <w:t>לחוק</w:t>
      </w:r>
      <w:r w:rsidRPr="005D74CC">
        <w:rPr>
          <w:rtl/>
        </w:rPr>
        <w:t xml:space="preserve"> </w:t>
      </w:r>
      <w:r w:rsidRPr="005D74CC">
        <w:rPr>
          <w:rFonts w:hint="eastAsia"/>
          <w:rtl/>
        </w:rPr>
        <w:t>העונשין</w:t>
      </w:r>
      <w:r w:rsidRPr="005D74CC">
        <w:rPr>
          <w:rtl/>
        </w:rPr>
        <w:t xml:space="preserve">, </w:t>
      </w:r>
      <w:r w:rsidRPr="005D74CC">
        <w:rPr>
          <w:rFonts w:hint="eastAsia"/>
          <w:rtl/>
        </w:rPr>
        <w:t>התשל</w:t>
      </w:r>
      <w:r w:rsidRPr="005D74CC">
        <w:rPr>
          <w:rtl/>
        </w:rPr>
        <w:t>"</w:t>
      </w:r>
      <w:r w:rsidRPr="005D74CC">
        <w:rPr>
          <w:rFonts w:hint="eastAsia"/>
          <w:rtl/>
        </w:rPr>
        <w:t>ז</w:t>
      </w:r>
      <w:r w:rsidRPr="005D74CC">
        <w:rPr>
          <w:rtl/>
        </w:rPr>
        <w:t>-1977</w:t>
      </w:r>
      <w:r>
        <w:rPr>
          <w:rFonts w:hint="cs"/>
          <w:rtl/>
        </w:rPr>
        <w:t xml:space="preserve"> מטעם המשנה לפרקליט המדינה (עניינים פליליים), מיום 24.1.2019 (להלן</w:t>
      </w:r>
      <w:r>
        <w:t>:</w:t>
      </w:r>
      <w:r>
        <w:rPr>
          <w:rFonts w:hint="cs"/>
          <w:rtl/>
        </w:rPr>
        <w:t xml:space="preserve"> </w:t>
      </w:r>
      <w:r w:rsidRPr="008356E1">
        <w:rPr>
          <w:rFonts w:ascii="Century" w:hAnsi="Century" w:cs="Miriam" w:hint="cs"/>
          <w:b/>
          <w:spacing w:val="0"/>
          <w:szCs w:val="24"/>
          <w:rtl/>
        </w:rPr>
        <w:t>נוהל ועד</w:t>
      </w:r>
      <w:r w:rsidRPr="00B737A4">
        <w:rPr>
          <w:rFonts w:ascii="Century" w:hAnsi="Century" w:cs="Miriam" w:hint="eastAsia"/>
          <w:b/>
          <w:spacing w:val="0"/>
          <w:szCs w:val="24"/>
          <w:rtl/>
        </w:rPr>
        <w:t>ת</w:t>
      </w:r>
      <w:r w:rsidRPr="00B737A4">
        <w:rPr>
          <w:rFonts w:ascii="Century" w:hAnsi="Century" w:cs="Miriam"/>
          <w:b/>
          <w:spacing w:val="0"/>
          <w:szCs w:val="24"/>
          <w:rtl/>
        </w:rPr>
        <w:t xml:space="preserve"> </w:t>
      </w:r>
      <w:r w:rsidRPr="00B737A4">
        <w:rPr>
          <w:rFonts w:ascii="Century" w:hAnsi="Century" w:cs="Miriam" w:hint="eastAsia"/>
          <w:b/>
          <w:spacing w:val="0"/>
          <w:szCs w:val="24"/>
          <w:rtl/>
        </w:rPr>
        <w:t>הפטור</w:t>
      </w:r>
      <w:r w:rsidR="00E46046">
        <w:rPr>
          <w:rFonts w:hint="cs"/>
          <w:rtl/>
        </w:rPr>
        <w:t>)).</w:t>
      </w:r>
      <w:r>
        <w:rPr>
          <w:rFonts w:hint="cs"/>
          <w:rtl/>
        </w:rPr>
        <w:t xml:space="preserve"> </w:t>
      </w:r>
    </w:p>
    <w:p w14:paraId="2410E7BB" w14:textId="77777777" w:rsidR="006A687A" w:rsidRDefault="006A687A" w:rsidP="006A687A">
      <w:pPr>
        <w:pStyle w:val="Ruller41"/>
        <w:rPr>
          <w:rtl/>
        </w:rPr>
      </w:pPr>
    </w:p>
    <w:p w14:paraId="3796AF93" w14:textId="65B92BF7" w:rsidR="006A687A" w:rsidRDefault="006A687A" w:rsidP="00FE3EDC">
      <w:pPr>
        <w:pStyle w:val="Ruller41"/>
        <w:rPr>
          <w:rtl/>
        </w:rPr>
      </w:pPr>
      <w:r>
        <w:rPr>
          <w:rFonts w:hint="cs"/>
          <w:rtl/>
        </w:rPr>
        <w:t>66.</w:t>
      </w:r>
      <w:r>
        <w:rPr>
          <w:rFonts w:hint="cs"/>
          <w:rtl/>
        </w:rPr>
        <w:tab/>
        <w:t xml:space="preserve">כאן המקום להבהיר כי </w:t>
      </w:r>
      <w:r w:rsidR="000F30DA">
        <w:rPr>
          <w:rFonts w:hint="cs"/>
          <w:rtl/>
        </w:rPr>
        <w:t>על-</w:t>
      </w:r>
      <w:r>
        <w:rPr>
          <w:rFonts w:hint="cs"/>
          <w:rtl/>
        </w:rPr>
        <w:t>פי הפרקטיקה הנוהגת, כפי שהוצגה לנו, מקובל להעביר לוועדת הפטור הסטטוטורי</w:t>
      </w:r>
      <w:r>
        <w:rPr>
          <w:rFonts w:hint="eastAsia"/>
          <w:rtl/>
        </w:rPr>
        <w:t>ת</w:t>
      </w:r>
      <w:r>
        <w:rPr>
          <w:rFonts w:hint="cs"/>
          <w:rtl/>
        </w:rPr>
        <w:t xml:space="preserve"> מסמכים נוספים מהתיק הטיפולי (מעבר לדיווח הראשוני) לצורך ניהול ההליך בפניה (ראו למשל סעיף 22 לתשובת </w:t>
      </w:r>
      <w:r w:rsidR="00FE3EDC">
        <w:rPr>
          <w:rFonts w:hint="cs"/>
          <w:rtl/>
        </w:rPr>
        <w:t>העוררת</w:t>
      </w:r>
      <w:r>
        <w:rPr>
          <w:rFonts w:hint="cs"/>
          <w:rtl/>
        </w:rPr>
        <w:t xml:space="preserve"> לתגובת המדינה). יש אכן טעם רב בפרקטיקה זו, ככל שהיא עולה בקנה אחד עם הוראות הדין. אין בתחימתה של חובת הדיווח כאמור בפסק דיננו זה כדי לפגוע בכך. בהקשר זה יש אף לציין כי, הלכה למעשה, דיונ</w:t>
      </w:r>
      <w:r w:rsidR="003D0AA2">
        <w:rPr>
          <w:rFonts w:hint="cs"/>
          <w:rtl/>
        </w:rPr>
        <w:t>יהן של</w:t>
      </w:r>
      <w:r>
        <w:rPr>
          <w:rFonts w:hint="cs"/>
          <w:rtl/>
        </w:rPr>
        <w:t xml:space="preserve"> ועדות הפטור הסטטוטוריו</w:t>
      </w:r>
      <w:r>
        <w:rPr>
          <w:rFonts w:hint="eastAsia"/>
          <w:rtl/>
        </w:rPr>
        <w:t>ת</w:t>
      </w:r>
      <w:r>
        <w:rPr>
          <w:rFonts w:hint="cs"/>
          <w:rtl/>
        </w:rPr>
        <w:t xml:space="preserve"> מתנהלים תחת </w:t>
      </w:r>
      <w:r>
        <w:rPr>
          <w:rFonts w:hint="cs"/>
          <w:rtl/>
        </w:rPr>
        <w:lastRenderedPageBreak/>
        <w:t xml:space="preserve">מעטה סודיות בדלתיים סגורות, וזאת מתוך רצון לעודד שיתוף פעולה של כלל הנוגעים בדבר ובכלל זאת של האדם החשוד במעשים שהקימו את חובת הדיווח (ראו סעיפים 28-27 לנוהל ועדת הפטור; </w:t>
      </w:r>
      <w:r w:rsidRPr="00686C81">
        <w:rPr>
          <w:rFonts w:ascii="Century" w:hAnsi="Century" w:cs="Miriam" w:hint="eastAsia"/>
          <w:b/>
          <w:spacing w:val="0"/>
          <w:szCs w:val="24"/>
          <w:rtl/>
        </w:rPr>
        <w:t>נחמני</w:t>
      </w:r>
      <w:r w:rsidRPr="00686C81">
        <w:rPr>
          <w:rFonts w:ascii="Century" w:hAnsi="Century" w:cs="Miriam"/>
          <w:b/>
          <w:spacing w:val="0"/>
          <w:szCs w:val="24"/>
          <w:rtl/>
        </w:rPr>
        <w:t>-רוט</w:t>
      </w:r>
      <w:r>
        <w:rPr>
          <w:rFonts w:ascii="Century" w:hAnsi="Century" w:cs="Miriam" w:hint="cs"/>
          <w:b/>
          <w:spacing w:val="0"/>
          <w:szCs w:val="24"/>
          <w:rtl/>
        </w:rPr>
        <w:t xml:space="preserve">, </w:t>
      </w:r>
      <w:r w:rsidRPr="00B737A4">
        <w:rPr>
          <w:rFonts w:ascii="Century" w:hAnsi="Century" w:hint="eastAsia"/>
          <w:rtl/>
        </w:rPr>
        <w:t>בעמ</w:t>
      </w:r>
      <w:r w:rsidRPr="00B737A4">
        <w:rPr>
          <w:rFonts w:ascii="Century" w:hAnsi="Century"/>
          <w:rtl/>
        </w:rPr>
        <w:t xml:space="preserve">' </w:t>
      </w:r>
      <w:r>
        <w:rPr>
          <w:rFonts w:ascii="Century" w:hAnsi="Century" w:hint="cs"/>
          <w:rtl/>
        </w:rPr>
        <w:t>388-387</w:t>
      </w:r>
      <w:r>
        <w:rPr>
          <w:rFonts w:ascii="Century" w:hAnsi="Century" w:cs="Miriam" w:hint="cs"/>
          <w:b/>
          <w:spacing w:val="0"/>
          <w:szCs w:val="24"/>
          <w:rtl/>
        </w:rPr>
        <w:t>)</w:t>
      </w:r>
      <w:r>
        <w:rPr>
          <w:rFonts w:hint="cs"/>
          <w:rtl/>
        </w:rPr>
        <w:t>. מטבע הדברים, מסמכים מסוג זה דרושים על מנת שבפני חברי ועדות הפטור הסטטוטוריות תעמוד תמונה מלאה, המאפשרת קבלת החלטה מושכלת שתוביל למימוש תכלית ההסדר החקיקתי. הדברים אמורים בין היתר, מקום בו העברת מלוא המסמכים מתבקשת לנוכח התקיימותם של הסייגים שנקבעו בדין לחובת הסודיות המוטלת על עובדים סוציאליי</w:t>
      </w:r>
      <w:r>
        <w:rPr>
          <w:rFonts w:hint="eastAsia"/>
          <w:rtl/>
        </w:rPr>
        <w:t>ם</w:t>
      </w:r>
      <w:r>
        <w:rPr>
          <w:rFonts w:hint="cs"/>
          <w:rtl/>
        </w:rPr>
        <w:t>, ואשר חלים בשינויים מסוימים אף ביחס לבעלי מקצוע</w:t>
      </w:r>
      <w:r w:rsidR="00FE3EDC">
        <w:rPr>
          <w:rFonts w:hint="cs"/>
          <w:rtl/>
        </w:rPr>
        <w:t xml:space="preserve"> מתחומים</w:t>
      </w:r>
      <w:r>
        <w:rPr>
          <w:rFonts w:hint="cs"/>
          <w:rtl/>
        </w:rPr>
        <w:t xml:space="preserve"> טיפוליים אחרים (ראו והשוו: סעיף 7 לחוק הפסיכולוגים, התשל"ז-1977). בכלל זאת, יש להזכיר את הסייגים הנוגעים למצבים בהם שוכנע העובד הסוציאלי שהעברת המידע דרושה לשם טיפול בילדיו הקטינים של האדם שמסר את המידע, לשם מניעת פגיעה באדם שעליו המידע או באדם אחר, וכן במצבים שבהם קיימות בחוק חובה או רשות לגילוי המידע או לאיסופו. כך גם בעת שהמטופל מסכים בכתב למסירת המידע לאחר שהוסברה לו משמעות הדברים (ראו סעיף 8 לחוק העובדים הסוציאליים). </w:t>
      </w:r>
    </w:p>
    <w:p w14:paraId="2ADA6E8C" w14:textId="77777777" w:rsidR="006A687A" w:rsidRDefault="006A687A" w:rsidP="006A687A">
      <w:pPr>
        <w:pStyle w:val="Ruller41"/>
        <w:rPr>
          <w:rtl/>
        </w:rPr>
      </w:pPr>
    </w:p>
    <w:p w14:paraId="18CFCA07" w14:textId="09439654" w:rsidR="006A687A" w:rsidRDefault="006A687A" w:rsidP="006A687A">
      <w:pPr>
        <w:pStyle w:val="Ruller41"/>
        <w:rPr>
          <w:rtl/>
        </w:rPr>
      </w:pPr>
      <w:r>
        <w:rPr>
          <w:rFonts w:hint="cs"/>
          <w:rtl/>
        </w:rPr>
        <w:t xml:space="preserve">67. </w:t>
      </w:r>
      <w:r>
        <w:rPr>
          <w:rFonts w:hint="cs"/>
          <w:rtl/>
        </w:rPr>
        <w:tab/>
        <w:t xml:space="preserve">ככל שוועדת הפטור מחליטה כי אין הצדקה למתן פטור, או כאשר החליט עובד סוציאלי שמונה לפי חוק כי אין מקום לפנות לוועדת פטור </w:t>
      </w:r>
      <w:r>
        <w:rPr>
          <w:rtl/>
        </w:rPr>
        <w:t>–</w:t>
      </w:r>
      <w:r>
        <w:rPr>
          <w:rFonts w:hint="cs"/>
          <w:rtl/>
        </w:rPr>
        <w:t xml:space="preserve"> ימשיך הטיפול בערוץ של מסירת המידע למשטרה. בנקודה זו יש לחדד כי על העובד הסוציאלי שמונה לפי חוק להעביר לידי המשטרה רק את הדיווח שנמסר לו בצירוף המלצתו בעניין, ללא מסמכים נוספים, ככל שאלו נמסרו על-ידי הגורם המטפל לצורך ניהול ההליך מול ועדות הפטור. בשלב זה, כאשר המשטרה מקבלת דיווח כאמור </w:t>
      </w:r>
      <w:r>
        <w:rPr>
          <w:rtl/>
        </w:rPr>
        <w:t>–</w:t>
      </w:r>
      <w:r>
        <w:rPr>
          <w:rFonts w:hint="cs"/>
          <w:rtl/>
        </w:rPr>
        <w:t xml:space="preserve"> עליה לשקול בזהירות המתחייבת מהם הצעדים החקירתיים המתאימים. בהיבט זה יש להבהיר כי בשים לב לחשיבות הנודעת לחיסיון הטיפולי, על המשטרה לשקול את מכלול הכיוונים החקירתיים שבפניה, ולאו דווקא להתחיל את החקירה בדרישה לקבל מסמכים טיפוליים. כך על המשטרה לבחון את מידת חיוניותם של המסמכים האמורים ולבחון האם קיימות אפשרויות אחרות להשגת ראיות שאינן כרוכות ב</w:t>
      </w:r>
      <w:r w:rsidR="00E46046">
        <w:rPr>
          <w:rFonts w:hint="cs"/>
          <w:rtl/>
        </w:rPr>
        <w:t>פגיעה בסודיות ובחיסיון הטיפולי.</w:t>
      </w:r>
      <w:r>
        <w:rPr>
          <w:rFonts w:hint="cs"/>
          <w:rtl/>
        </w:rPr>
        <w:t xml:space="preserve"> לצד זאת, אין לקבוע מסמרות בעניין זה וייתכנו מקרים שבהם זה יהיה כיוון החקירה הנכון בנסיבות העניין. אולם, אסור שיהיה זה מהלך "אוטומטי" כדרך קבע. </w:t>
      </w:r>
    </w:p>
    <w:p w14:paraId="768627DC" w14:textId="77777777" w:rsidR="006A687A" w:rsidRDefault="006A687A" w:rsidP="006A687A">
      <w:pPr>
        <w:pStyle w:val="Ruller41"/>
        <w:rPr>
          <w:rtl/>
        </w:rPr>
      </w:pPr>
    </w:p>
    <w:p w14:paraId="13B42167" w14:textId="18EB1592" w:rsidR="006A687A" w:rsidRDefault="006A687A" w:rsidP="00FE3EDC">
      <w:pPr>
        <w:pStyle w:val="Ruller41"/>
        <w:rPr>
          <w:rtl/>
        </w:rPr>
      </w:pPr>
      <w:r>
        <w:rPr>
          <w:rFonts w:hint="cs"/>
          <w:rtl/>
        </w:rPr>
        <w:t xml:space="preserve">68. </w:t>
      </w:r>
      <w:r>
        <w:rPr>
          <w:rFonts w:hint="cs"/>
          <w:rtl/>
        </w:rPr>
        <w:tab/>
        <w:t xml:space="preserve">בכפוף לאמור לעיל, ככל שמצאה המשטרה כי קיים צורך בקבלת מידע נוסף מבעל המקצוע שמסר את הדיווח, עליה לעשות כן בערוץ של פנייה לבית משפט המוסמך להורות על כך מכוח סמכותו לפי סעיף 43 לפקודת סדר הדין הפלילי (ראו והשוו: </w:t>
      </w:r>
      <w:proofErr w:type="spellStart"/>
      <w:r>
        <w:rPr>
          <w:rFonts w:hint="cs"/>
          <w:rtl/>
        </w:rPr>
        <w:t>רע"פ</w:t>
      </w:r>
      <w:proofErr w:type="spellEnd"/>
      <w:r>
        <w:rPr>
          <w:rFonts w:hint="cs"/>
          <w:rtl/>
        </w:rPr>
        <w:t xml:space="preserve"> 8600/03 </w:t>
      </w:r>
      <w:r w:rsidRPr="00590FDE">
        <w:rPr>
          <w:rFonts w:ascii="Century" w:hAnsi="Century" w:cs="Miriam" w:hint="cs"/>
          <w:b/>
          <w:spacing w:val="0"/>
          <w:szCs w:val="24"/>
          <w:rtl/>
        </w:rPr>
        <w:t>מדינת ישראל נ' שרון</w:t>
      </w:r>
      <w:r>
        <w:rPr>
          <w:rFonts w:hint="cs"/>
          <w:rtl/>
        </w:rPr>
        <w:t xml:space="preserve">, פ"ד נח(1) 748, 767-766 (2003); </w:t>
      </w:r>
      <w:proofErr w:type="spellStart"/>
      <w:r>
        <w:rPr>
          <w:rFonts w:hint="cs"/>
          <w:rtl/>
        </w:rPr>
        <w:t>ר</w:t>
      </w:r>
      <w:r w:rsidRPr="008756D8">
        <w:rPr>
          <w:rFonts w:hint="eastAsia"/>
          <w:rtl/>
        </w:rPr>
        <w:t>ע</w:t>
      </w:r>
      <w:r w:rsidRPr="008756D8">
        <w:rPr>
          <w:rtl/>
        </w:rPr>
        <w:t>"</w:t>
      </w:r>
      <w:r w:rsidRPr="008756D8">
        <w:rPr>
          <w:rFonts w:hint="eastAsia"/>
          <w:rtl/>
        </w:rPr>
        <w:t>פ</w:t>
      </w:r>
      <w:proofErr w:type="spellEnd"/>
      <w:r w:rsidRPr="008756D8">
        <w:rPr>
          <w:rtl/>
        </w:rPr>
        <w:t xml:space="preserve"> 761/12 </w:t>
      </w:r>
      <w:r w:rsidRPr="00590FDE">
        <w:rPr>
          <w:rFonts w:ascii="Century" w:hAnsi="Century" w:cs="Miriam" w:hint="eastAsia"/>
          <w:b/>
          <w:spacing w:val="0"/>
          <w:szCs w:val="24"/>
          <w:rtl/>
        </w:rPr>
        <w:t>מדינת</w:t>
      </w:r>
      <w:r w:rsidRPr="00590FDE">
        <w:rPr>
          <w:rFonts w:ascii="Century" w:hAnsi="Century" w:cs="Miriam"/>
          <w:b/>
          <w:spacing w:val="0"/>
          <w:szCs w:val="24"/>
          <w:rtl/>
        </w:rPr>
        <w:t xml:space="preserve"> </w:t>
      </w:r>
      <w:r w:rsidRPr="00590FDE">
        <w:rPr>
          <w:rFonts w:ascii="Century" w:hAnsi="Century" w:cs="Miriam" w:hint="eastAsia"/>
          <w:b/>
          <w:spacing w:val="0"/>
          <w:szCs w:val="24"/>
          <w:rtl/>
        </w:rPr>
        <w:lastRenderedPageBreak/>
        <w:t>ישראל</w:t>
      </w:r>
      <w:r w:rsidRPr="00590FDE">
        <w:rPr>
          <w:rFonts w:ascii="Century" w:hAnsi="Century" w:cs="Miriam"/>
          <w:b/>
          <w:spacing w:val="0"/>
          <w:szCs w:val="24"/>
          <w:rtl/>
        </w:rPr>
        <w:t xml:space="preserve"> </w:t>
      </w:r>
      <w:r w:rsidRPr="00590FDE">
        <w:rPr>
          <w:rFonts w:ascii="Century" w:hAnsi="Century" w:cs="Miriam" w:hint="eastAsia"/>
          <w:b/>
          <w:spacing w:val="0"/>
          <w:szCs w:val="24"/>
          <w:rtl/>
        </w:rPr>
        <w:t>נ</w:t>
      </w:r>
      <w:r w:rsidRPr="00590FDE">
        <w:rPr>
          <w:rFonts w:ascii="Century" w:hAnsi="Century" w:cs="Miriam"/>
          <w:b/>
          <w:spacing w:val="0"/>
          <w:szCs w:val="24"/>
          <w:rtl/>
        </w:rPr>
        <w:t xml:space="preserve">' </w:t>
      </w:r>
      <w:r w:rsidRPr="00590FDE">
        <w:rPr>
          <w:rFonts w:ascii="Century" w:hAnsi="Century" w:cs="Miriam" w:hint="eastAsia"/>
          <w:b/>
          <w:spacing w:val="0"/>
          <w:szCs w:val="24"/>
          <w:rtl/>
        </w:rPr>
        <w:t>מקור</w:t>
      </w:r>
      <w:r w:rsidRPr="00590FDE">
        <w:rPr>
          <w:rFonts w:ascii="Century" w:hAnsi="Century" w:cs="Miriam"/>
          <w:b/>
          <w:spacing w:val="0"/>
          <w:szCs w:val="24"/>
          <w:rtl/>
        </w:rPr>
        <w:t xml:space="preserve"> </w:t>
      </w:r>
      <w:r w:rsidRPr="00590FDE">
        <w:rPr>
          <w:rFonts w:ascii="Century" w:hAnsi="Century" w:cs="Miriam" w:hint="eastAsia"/>
          <w:b/>
          <w:spacing w:val="0"/>
          <w:szCs w:val="24"/>
          <w:rtl/>
        </w:rPr>
        <w:t>ראשון</w:t>
      </w:r>
      <w:r w:rsidRPr="00590FDE">
        <w:rPr>
          <w:rFonts w:ascii="Century" w:hAnsi="Century" w:cs="Miriam"/>
          <w:b/>
          <w:spacing w:val="0"/>
          <w:szCs w:val="24"/>
          <w:rtl/>
        </w:rPr>
        <w:t xml:space="preserve"> </w:t>
      </w:r>
      <w:r w:rsidRPr="00590FDE">
        <w:rPr>
          <w:rFonts w:ascii="Century" w:hAnsi="Century" w:cs="Miriam" w:hint="eastAsia"/>
          <w:b/>
          <w:spacing w:val="0"/>
          <w:szCs w:val="24"/>
          <w:rtl/>
        </w:rPr>
        <w:t>המאוחד</w:t>
      </w:r>
      <w:r w:rsidRPr="00590FDE">
        <w:rPr>
          <w:rFonts w:ascii="Century" w:hAnsi="Century" w:cs="Miriam"/>
          <w:b/>
          <w:spacing w:val="0"/>
          <w:szCs w:val="24"/>
          <w:rtl/>
        </w:rPr>
        <w:t xml:space="preserve"> (</w:t>
      </w:r>
      <w:r w:rsidRPr="00590FDE">
        <w:rPr>
          <w:rFonts w:ascii="Century" w:hAnsi="Century" w:cs="Miriam" w:hint="eastAsia"/>
          <w:b/>
          <w:spacing w:val="0"/>
          <w:szCs w:val="24"/>
          <w:rtl/>
        </w:rPr>
        <w:t>הצופה</w:t>
      </w:r>
      <w:r w:rsidRPr="00590FDE">
        <w:rPr>
          <w:rFonts w:ascii="Century" w:hAnsi="Century" w:cs="Miriam"/>
          <w:b/>
          <w:spacing w:val="0"/>
          <w:szCs w:val="24"/>
          <w:rtl/>
        </w:rPr>
        <w:t xml:space="preserve">) </w:t>
      </w:r>
      <w:r w:rsidRPr="00590FDE">
        <w:rPr>
          <w:rFonts w:ascii="Century" w:hAnsi="Century" w:cs="Miriam" w:hint="eastAsia"/>
          <w:b/>
          <w:spacing w:val="0"/>
          <w:szCs w:val="24"/>
          <w:rtl/>
        </w:rPr>
        <w:t>בע</w:t>
      </w:r>
      <w:r w:rsidRPr="00590FDE">
        <w:rPr>
          <w:rFonts w:ascii="Century" w:hAnsi="Century" w:cs="Miriam"/>
          <w:b/>
          <w:spacing w:val="0"/>
          <w:szCs w:val="24"/>
          <w:rtl/>
        </w:rPr>
        <w:t>"</w:t>
      </w:r>
      <w:r w:rsidRPr="00590FDE">
        <w:rPr>
          <w:rFonts w:ascii="Century" w:hAnsi="Century" w:cs="Miriam" w:hint="eastAsia"/>
          <w:b/>
          <w:spacing w:val="0"/>
          <w:szCs w:val="24"/>
          <w:rtl/>
        </w:rPr>
        <w:t>מ</w:t>
      </w:r>
      <w:r w:rsidRPr="008756D8">
        <w:rPr>
          <w:rtl/>
        </w:rPr>
        <w:t xml:space="preserve">, </w:t>
      </w:r>
      <w:r w:rsidR="00FE3EDC">
        <w:rPr>
          <w:rFonts w:hint="cs"/>
          <w:rtl/>
        </w:rPr>
        <w:t>פסקאות</w:t>
      </w:r>
      <w:r w:rsidRPr="008756D8">
        <w:rPr>
          <w:rtl/>
        </w:rPr>
        <w:t xml:space="preserve"> </w:t>
      </w:r>
      <w:r w:rsidRPr="008756D8">
        <w:rPr>
          <w:rFonts w:hint="eastAsia"/>
          <w:rtl/>
        </w:rPr>
        <w:t>ל</w:t>
      </w:r>
      <w:r w:rsidRPr="008756D8">
        <w:rPr>
          <w:rtl/>
        </w:rPr>
        <w:t>"</w:t>
      </w:r>
      <w:r w:rsidRPr="008756D8">
        <w:rPr>
          <w:rFonts w:hint="eastAsia"/>
          <w:rtl/>
        </w:rPr>
        <w:t>א</w:t>
      </w:r>
      <w:r>
        <w:rPr>
          <w:rFonts w:hint="cs"/>
          <w:rtl/>
        </w:rPr>
        <w:t>-</w:t>
      </w:r>
      <w:r w:rsidRPr="008756D8">
        <w:rPr>
          <w:rFonts w:hint="eastAsia"/>
          <w:rtl/>
        </w:rPr>
        <w:t>ל</w:t>
      </w:r>
      <w:r w:rsidRPr="008756D8">
        <w:rPr>
          <w:rtl/>
        </w:rPr>
        <w:t>"</w:t>
      </w:r>
      <w:r w:rsidRPr="008756D8">
        <w:rPr>
          <w:rFonts w:hint="eastAsia"/>
          <w:rtl/>
        </w:rPr>
        <w:t>ח</w:t>
      </w:r>
      <w:r w:rsidRPr="008756D8">
        <w:rPr>
          <w:rtl/>
        </w:rPr>
        <w:t xml:space="preserve"> </w:t>
      </w:r>
      <w:r w:rsidRPr="008756D8">
        <w:rPr>
          <w:rFonts w:hint="eastAsia"/>
          <w:rtl/>
        </w:rPr>
        <w:t>לפסק</w:t>
      </w:r>
      <w:r w:rsidRPr="008756D8">
        <w:rPr>
          <w:rtl/>
        </w:rPr>
        <w:t xml:space="preserve"> </w:t>
      </w:r>
      <w:r w:rsidRPr="008756D8">
        <w:rPr>
          <w:rFonts w:hint="eastAsia"/>
          <w:rtl/>
        </w:rPr>
        <w:t>דינו</w:t>
      </w:r>
      <w:r w:rsidRPr="008756D8">
        <w:rPr>
          <w:rtl/>
        </w:rPr>
        <w:t xml:space="preserve"> </w:t>
      </w:r>
      <w:r w:rsidRPr="008756D8">
        <w:rPr>
          <w:rFonts w:hint="eastAsia"/>
          <w:rtl/>
        </w:rPr>
        <w:t>של</w:t>
      </w:r>
      <w:r w:rsidRPr="008756D8">
        <w:rPr>
          <w:rtl/>
        </w:rPr>
        <w:t xml:space="preserve"> </w:t>
      </w:r>
      <w:r w:rsidRPr="008756D8">
        <w:rPr>
          <w:rFonts w:hint="eastAsia"/>
          <w:rtl/>
        </w:rPr>
        <w:t>השופט</w:t>
      </w:r>
      <w:r w:rsidRPr="008756D8">
        <w:rPr>
          <w:rtl/>
        </w:rPr>
        <w:t xml:space="preserve"> (</w:t>
      </w:r>
      <w:r w:rsidRPr="008756D8">
        <w:rPr>
          <w:rFonts w:hint="eastAsia"/>
          <w:rtl/>
        </w:rPr>
        <w:t>כתוארו</w:t>
      </w:r>
      <w:r w:rsidRPr="008756D8">
        <w:rPr>
          <w:rtl/>
        </w:rPr>
        <w:t xml:space="preserve"> </w:t>
      </w:r>
      <w:r w:rsidRPr="008756D8">
        <w:rPr>
          <w:rFonts w:hint="eastAsia"/>
          <w:rtl/>
        </w:rPr>
        <w:t>אז</w:t>
      </w:r>
      <w:r w:rsidRPr="008756D8">
        <w:rPr>
          <w:rtl/>
        </w:rPr>
        <w:t xml:space="preserve">) </w:t>
      </w:r>
      <w:r w:rsidRPr="00590FDE">
        <w:rPr>
          <w:rFonts w:ascii="Century" w:hAnsi="Century" w:cs="Miriam" w:hint="eastAsia"/>
          <w:b/>
          <w:spacing w:val="0"/>
          <w:szCs w:val="24"/>
          <w:rtl/>
        </w:rPr>
        <w:t>א</w:t>
      </w:r>
      <w:r w:rsidRPr="00590FDE">
        <w:rPr>
          <w:rFonts w:ascii="Century" w:hAnsi="Century" w:cs="Miriam"/>
          <w:b/>
          <w:spacing w:val="0"/>
          <w:szCs w:val="24"/>
          <w:rtl/>
        </w:rPr>
        <w:t xml:space="preserve">' </w:t>
      </w:r>
      <w:r w:rsidRPr="00590FDE">
        <w:rPr>
          <w:rFonts w:ascii="Century" w:hAnsi="Century" w:cs="Miriam" w:hint="eastAsia"/>
          <w:b/>
          <w:spacing w:val="0"/>
          <w:szCs w:val="24"/>
          <w:rtl/>
        </w:rPr>
        <w:t>רובינשטיין</w:t>
      </w:r>
      <w:r w:rsidRPr="008756D8">
        <w:rPr>
          <w:rtl/>
        </w:rPr>
        <w:t xml:space="preserve"> (29.11.2012)</w:t>
      </w:r>
      <w:r>
        <w:rPr>
          <w:rFonts w:hint="cs"/>
          <w:rtl/>
        </w:rPr>
        <w:t>).</w:t>
      </w:r>
    </w:p>
    <w:p w14:paraId="00723747" w14:textId="77777777" w:rsidR="006A687A" w:rsidRDefault="006A687A" w:rsidP="006A687A">
      <w:pPr>
        <w:pStyle w:val="Ruller41"/>
        <w:rPr>
          <w:rtl/>
        </w:rPr>
      </w:pPr>
    </w:p>
    <w:p w14:paraId="38BF3D84" w14:textId="77777777" w:rsidR="006A687A" w:rsidRDefault="006A687A" w:rsidP="006A687A">
      <w:pPr>
        <w:pStyle w:val="Ruller41"/>
        <w:rPr>
          <w:rtl/>
        </w:rPr>
      </w:pPr>
      <w:r>
        <w:rPr>
          <w:rFonts w:hint="cs"/>
          <w:rtl/>
        </w:rPr>
        <w:t xml:space="preserve">69. </w:t>
      </w:r>
      <w:r>
        <w:rPr>
          <w:rFonts w:hint="cs"/>
          <w:rtl/>
        </w:rPr>
        <w:tab/>
        <w:t xml:space="preserve">בשים לב לרגישות ולזהירות המתחייבות בכל הנוגע לחומר שחל עליו חיסיון, על המשטרה להדגיש בפנייתה לבית המשפט כי הבקשה המוגשת לו נוגעת לחומר שעשוי לחול עליו חיסיון. דומה שטוב תעשה המשטרה אם תעשה שימוש לצורך כך בטופס מיוחד וייעודי שבו הדבר יודגש באופן מפורש. כמו כן, יש לצפות כי טופס זה יכלול תוספת של הסבר מודפס המכוון לבעל המקצוע ממנו נדרשת המצאת החומרים </w:t>
      </w:r>
      <w:r>
        <w:rPr>
          <w:rtl/>
        </w:rPr>
        <w:t>–</w:t>
      </w:r>
      <w:r>
        <w:rPr>
          <w:rFonts w:hint="cs"/>
          <w:rtl/>
        </w:rPr>
        <w:t xml:space="preserve"> על מנת שזה יהיה מודע לאפשרותו לטעון לתחולת החיסיון בבית משפט, ולא למסור את החומר על אתר. אומנם, ייתכן כי הבהרה מסוג זה חשובה פחות בנסיבות ש</w:t>
      </w:r>
      <w:r w:rsidR="005E1A05">
        <w:rPr>
          <w:rFonts w:hint="cs"/>
          <w:rtl/>
        </w:rPr>
        <w:t xml:space="preserve">בהן </w:t>
      </w:r>
      <w:r>
        <w:rPr>
          <w:rFonts w:hint="cs"/>
          <w:rtl/>
        </w:rPr>
        <w:t>מדובר בגוף מיומן ובעל ניסיון מקצועי כמו בעניינה של העוררת, אך דומה שיש לה חשיבות רבה בחיי המעשה כאשר מדובר בבעלי מקצוע פרטיים שאינם "שחקנים חוזרים" בהליכים משפטיים.</w:t>
      </w:r>
    </w:p>
    <w:p w14:paraId="1BA7B691" w14:textId="77777777" w:rsidR="006A687A" w:rsidRDefault="006A687A" w:rsidP="006A687A">
      <w:pPr>
        <w:pStyle w:val="Ruller41"/>
        <w:rPr>
          <w:rtl/>
        </w:rPr>
      </w:pPr>
    </w:p>
    <w:p w14:paraId="0C138DCE" w14:textId="77777777" w:rsidR="006A687A" w:rsidRDefault="006A687A" w:rsidP="006A687A">
      <w:pPr>
        <w:pStyle w:val="Ruller41"/>
        <w:rPr>
          <w:rtl/>
        </w:rPr>
      </w:pPr>
      <w:r>
        <w:rPr>
          <w:rFonts w:hint="cs"/>
          <w:rtl/>
        </w:rPr>
        <w:t xml:space="preserve">70. </w:t>
      </w:r>
      <w:r>
        <w:rPr>
          <w:rFonts w:hint="cs"/>
          <w:rtl/>
        </w:rPr>
        <w:tab/>
        <w:t xml:space="preserve">לבסוף, ככל שבעל המקצוע אליו מופנית הדרישה להמצאת מסמכים יבקש להתנגד למסירת החומר </w:t>
      </w:r>
      <w:r>
        <w:rPr>
          <w:rtl/>
        </w:rPr>
        <w:t>–</w:t>
      </w:r>
      <w:r>
        <w:rPr>
          <w:rFonts w:hint="cs"/>
          <w:rtl/>
        </w:rPr>
        <w:t xml:space="preserve"> בית המשפט יכריע בשאלת החיסיון </w:t>
      </w:r>
      <w:r w:rsidRPr="008415ED">
        <w:rPr>
          <w:rtl/>
        </w:rPr>
        <w:t>בזהירות וברגישות</w:t>
      </w:r>
      <w:r>
        <w:rPr>
          <w:rFonts w:hint="cs"/>
          <w:rtl/>
        </w:rPr>
        <w:t xml:space="preserve"> המתבקשת תוך שקילת מכלול האינטרסים הנוגעים לעניין בהתאם לסמכותו מכוח נוסחת האיזון הקבועה כאמור בסעיף 50א לפקודה. </w:t>
      </w:r>
    </w:p>
    <w:p w14:paraId="6533C2FE" w14:textId="77777777" w:rsidR="006A687A" w:rsidRDefault="006A687A" w:rsidP="006A687A">
      <w:pPr>
        <w:pStyle w:val="Ruller41"/>
        <w:rPr>
          <w:rtl/>
        </w:rPr>
      </w:pPr>
    </w:p>
    <w:p w14:paraId="0DCC7C18" w14:textId="77777777" w:rsidR="006A687A" w:rsidRDefault="006A687A" w:rsidP="006A687A">
      <w:pPr>
        <w:pStyle w:val="Ruller41"/>
        <w:rPr>
          <w:rtl/>
        </w:rPr>
      </w:pPr>
      <w:r>
        <w:rPr>
          <w:rFonts w:hint="cs"/>
          <w:rtl/>
        </w:rPr>
        <w:t xml:space="preserve">71. </w:t>
      </w:r>
      <w:r>
        <w:rPr>
          <w:rFonts w:hint="cs"/>
          <w:rtl/>
        </w:rPr>
        <w:tab/>
        <w:t xml:space="preserve">מסלול זה, כמוסבר לעיל, שונה מזה שעשוי להשתמע מהחלטתו של בית המשפט המחוזי. </w:t>
      </w:r>
    </w:p>
    <w:p w14:paraId="78C154D2" w14:textId="77777777" w:rsidR="006A687A" w:rsidRDefault="006A687A" w:rsidP="006A687A">
      <w:pPr>
        <w:pStyle w:val="Ruller41"/>
        <w:rPr>
          <w:rtl/>
        </w:rPr>
      </w:pPr>
    </w:p>
    <w:p w14:paraId="2BDFEDA8" w14:textId="77777777" w:rsidR="006A687A" w:rsidRDefault="006A687A" w:rsidP="006A687A">
      <w:pPr>
        <w:pStyle w:val="Ruller41"/>
        <w:rPr>
          <w:rtl/>
        </w:rPr>
      </w:pPr>
      <w:r>
        <w:rPr>
          <w:rFonts w:hint="cs"/>
          <w:rtl/>
        </w:rPr>
        <w:t xml:space="preserve">72. </w:t>
      </w:r>
      <w:r>
        <w:rPr>
          <w:rtl/>
        </w:rPr>
        <w:tab/>
      </w:r>
      <w:r>
        <w:rPr>
          <w:rFonts w:hint="cs"/>
          <w:rtl/>
        </w:rPr>
        <w:t xml:space="preserve">אם כן, לסיכום הדברים, אני מקבלת את עמדתה העקרונית של העוררת כי הדיווח שאותו נדרש הגורם הטיפולי למסור מכוח הדין אינו חייב להיות מלווה בחומרים גולמיים נוספים וכי מסירה של חומרים מסוג זה צריכה להיעשות על-פי צו שיפוטי לאחר שנשקל מכלול האינטרסים הנוגעים בדבר. </w:t>
      </w:r>
    </w:p>
    <w:p w14:paraId="48AD1920" w14:textId="77777777" w:rsidR="006A687A" w:rsidRDefault="006A687A" w:rsidP="006A687A">
      <w:pPr>
        <w:pStyle w:val="Ruller41"/>
        <w:rPr>
          <w:rtl/>
        </w:rPr>
      </w:pPr>
    </w:p>
    <w:p w14:paraId="33A9CB53" w14:textId="77777777" w:rsidR="006A687A" w:rsidRDefault="006A687A" w:rsidP="006A687A">
      <w:pPr>
        <w:pStyle w:val="Ruller41"/>
        <w:rPr>
          <w:rtl/>
        </w:rPr>
      </w:pPr>
      <w:r>
        <w:rPr>
          <w:rFonts w:hint="cs"/>
          <w:rtl/>
        </w:rPr>
        <w:t xml:space="preserve">73. </w:t>
      </w:r>
      <w:r>
        <w:rPr>
          <w:rFonts w:hint="cs"/>
          <w:rtl/>
        </w:rPr>
        <w:tab/>
        <w:t xml:space="preserve">לצד זאת, יש לשוב ולהדגיש כי חובת הדיווח צריכה להיעשות באופן "מהותי" בהתאם למתכונת שתוארה. כמו כן, מקובלת עלי כאמור הטעמתו של בא-כוח המדינה כי חובת הדיווח היא אישית, ולכן הדיווח חייב להימסר כאמור בכתב ובחתימתו של בעל המקצוע הרלוונטי (גם אם </w:t>
      </w:r>
      <w:r>
        <w:rPr>
          <w:rtl/>
        </w:rPr>
        <w:t>–</w:t>
      </w:r>
      <w:r>
        <w:rPr>
          <w:rFonts w:hint="cs"/>
          <w:rtl/>
        </w:rPr>
        <w:t xml:space="preserve"> במקרה של גוף מסודר </w:t>
      </w:r>
      <w:r>
        <w:rPr>
          <w:rtl/>
        </w:rPr>
        <w:t>–</w:t>
      </w:r>
      <w:r>
        <w:rPr>
          <w:rFonts w:hint="cs"/>
          <w:rtl/>
        </w:rPr>
        <w:t xml:space="preserve"> הדבר ילווה גם בחתימה של בעל תפקיד בכיר נוסף).</w:t>
      </w:r>
    </w:p>
    <w:p w14:paraId="13E9FBCF" w14:textId="77777777" w:rsidR="006A687A" w:rsidRDefault="006A687A" w:rsidP="006A687A">
      <w:pPr>
        <w:pStyle w:val="Ruller41"/>
        <w:rPr>
          <w:rtl/>
        </w:rPr>
      </w:pPr>
    </w:p>
    <w:p w14:paraId="126DE0B6" w14:textId="77777777" w:rsidR="006A687A" w:rsidRDefault="006A687A" w:rsidP="006A687A">
      <w:pPr>
        <w:pStyle w:val="Ruller41"/>
        <w:rPr>
          <w:rtl/>
        </w:rPr>
      </w:pPr>
      <w:r>
        <w:rPr>
          <w:rFonts w:hint="cs"/>
          <w:rtl/>
        </w:rPr>
        <w:lastRenderedPageBreak/>
        <w:t xml:space="preserve">74. </w:t>
      </w:r>
      <w:r>
        <w:rPr>
          <w:rFonts w:hint="cs"/>
          <w:rtl/>
        </w:rPr>
        <w:tab/>
        <w:t>לקראת סיום, אוסיף ואזכיר, כי האמור לעיל ביחס לחובת הדיווח ולסדר הפעולות הראוי עשוי לחול, בשינויים המחויבים, אף ביחס לאנשי טיפול נוספים הכפופים למסגרת נורמטיבית דומה, כגון במקרה של פסיכולוגים.</w:t>
      </w:r>
    </w:p>
    <w:p w14:paraId="1C52558D" w14:textId="77777777" w:rsidR="006A687A" w:rsidRDefault="006A687A" w:rsidP="006A687A">
      <w:pPr>
        <w:pStyle w:val="Ruller41"/>
        <w:rPr>
          <w:rtl/>
        </w:rPr>
      </w:pPr>
    </w:p>
    <w:p w14:paraId="1DA8B4E0" w14:textId="77777777" w:rsidR="006A687A" w:rsidRPr="006B0B9C" w:rsidRDefault="006A687A" w:rsidP="006A687A">
      <w:pPr>
        <w:pStyle w:val="Ruller41"/>
        <w:rPr>
          <w:rFonts w:ascii="Century" w:hAnsi="Century" w:cs="Miriam"/>
          <w:b/>
          <w:spacing w:val="0"/>
          <w:szCs w:val="24"/>
          <w:rtl/>
        </w:rPr>
      </w:pPr>
      <w:r w:rsidRPr="006B0B9C">
        <w:rPr>
          <w:rFonts w:ascii="Century" w:hAnsi="Century" w:cs="Miriam" w:hint="eastAsia"/>
          <w:b/>
          <w:spacing w:val="0"/>
          <w:szCs w:val="24"/>
          <w:rtl/>
        </w:rPr>
        <w:t>מהכלל</w:t>
      </w:r>
      <w:r w:rsidRPr="006B0B9C">
        <w:rPr>
          <w:rFonts w:ascii="Century" w:hAnsi="Century" w:cs="Miriam"/>
          <w:b/>
          <w:spacing w:val="0"/>
          <w:szCs w:val="24"/>
          <w:rtl/>
        </w:rPr>
        <w:t xml:space="preserve"> </w:t>
      </w:r>
      <w:r w:rsidRPr="006B0B9C">
        <w:rPr>
          <w:rFonts w:ascii="Century" w:hAnsi="Century" w:cs="Miriam" w:hint="eastAsia"/>
          <w:b/>
          <w:spacing w:val="0"/>
          <w:szCs w:val="24"/>
          <w:rtl/>
        </w:rPr>
        <w:t>אל</w:t>
      </w:r>
      <w:r w:rsidRPr="006B0B9C">
        <w:rPr>
          <w:rFonts w:ascii="Century" w:hAnsi="Century" w:cs="Miriam"/>
          <w:b/>
          <w:spacing w:val="0"/>
          <w:szCs w:val="24"/>
          <w:rtl/>
        </w:rPr>
        <w:t xml:space="preserve"> </w:t>
      </w:r>
      <w:r w:rsidRPr="006B0B9C">
        <w:rPr>
          <w:rFonts w:ascii="Century" w:hAnsi="Century" w:cs="Miriam" w:hint="eastAsia"/>
          <w:b/>
          <w:spacing w:val="0"/>
          <w:szCs w:val="24"/>
          <w:rtl/>
        </w:rPr>
        <w:t>הפרט</w:t>
      </w:r>
    </w:p>
    <w:p w14:paraId="6C2FC71F" w14:textId="77777777" w:rsidR="006A687A" w:rsidRDefault="006A687A" w:rsidP="006A687A">
      <w:pPr>
        <w:pStyle w:val="Ruller41"/>
        <w:rPr>
          <w:rtl/>
        </w:rPr>
      </w:pPr>
    </w:p>
    <w:p w14:paraId="7FF6D09E" w14:textId="77777777" w:rsidR="006A687A" w:rsidRDefault="006A687A" w:rsidP="006A687A">
      <w:pPr>
        <w:pStyle w:val="Ruller41"/>
        <w:rPr>
          <w:rtl/>
        </w:rPr>
      </w:pPr>
      <w:r>
        <w:rPr>
          <w:rFonts w:hint="cs"/>
          <w:rtl/>
        </w:rPr>
        <w:t xml:space="preserve">75. </w:t>
      </w:r>
      <w:r>
        <w:rPr>
          <w:rFonts w:hint="cs"/>
          <w:rtl/>
        </w:rPr>
        <w:tab/>
        <w:t xml:space="preserve">וכעת, מהלכה למעשה: בהתאם למתכונת הדיווח שתוארה לעיל, חלה על גורמי הטיפול העובדים בשירותה של העוררת ונחשפו במסגרת עבודתם למידע שמסר החשוד חובה למסור באופן אישי ובכתב דיווח מהותי לידי הגורמים המוסמכים לפי סעיף 368ד לחוק העונשין. לצד זאת, בשונה מהאמור בהחלטתו של בית המשפט המחוזי, אין גורמי הטיפול נדרשים למסור לגורמי החקירה מסמכים טיפוליים או מידע נוסף שנחשפו אליו במהלך הטיפול בחשוד ואשר חורגים מן המתכונת שתוארה לעיל ככל שמדובר במימושה של חובת הדיווח. </w:t>
      </w:r>
    </w:p>
    <w:p w14:paraId="3AAE2E04" w14:textId="77777777" w:rsidR="006A687A" w:rsidRDefault="006A687A" w:rsidP="006A687A">
      <w:pPr>
        <w:pStyle w:val="Ruller41"/>
        <w:rPr>
          <w:rtl/>
        </w:rPr>
      </w:pPr>
    </w:p>
    <w:p w14:paraId="47282997" w14:textId="77777777" w:rsidR="006A687A" w:rsidRDefault="006A687A" w:rsidP="006A687A">
      <w:pPr>
        <w:pStyle w:val="Ruller41"/>
        <w:rPr>
          <w:rtl/>
        </w:rPr>
      </w:pPr>
      <w:r>
        <w:rPr>
          <w:rFonts w:hint="cs"/>
          <w:rtl/>
        </w:rPr>
        <w:t xml:space="preserve">76. </w:t>
      </w:r>
      <w:r>
        <w:rPr>
          <w:rtl/>
        </w:rPr>
        <w:tab/>
      </w:r>
      <w:r>
        <w:rPr>
          <w:rFonts w:hint="cs"/>
          <w:rtl/>
        </w:rPr>
        <w:t xml:space="preserve">התוצאה המעשית היא אפוא שיש לקבל את הערר במובן זה שהחלטת בית המשפט המחוזי תבוטל. </w:t>
      </w:r>
    </w:p>
    <w:p w14:paraId="6AD07366" w14:textId="77777777" w:rsidR="006A687A" w:rsidRDefault="006A687A" w:rsidP="006A687A">
      <w:pPr>
        <w:pStyle w:val="Ruller41"/>
        <w:rPr>
          <w:rtl/>
        </w:rPr>
      </w:pPr>
    </w:p>
    <w:p w14:paraId="59E7FF52" w14:textId="7E7B66FE" w:rsidR="006A687A" w:rsidRDefault="006A687A" w:rsidP="000F30DA">
      <w:pPr>
        <w:pStyle w:val="Ruller41"/>
        <w:rPr>
          <w:rtl/>
        </w:rPr>
      </w:pPr>
      <w:r>
        <w:rPr>
          <w:rFonts w:hint="cs"/>
          <w:rtl/>
        </w:rPr>
        <w:t>77.</w:t>
      </w:r>
      <w:r>
        <w:rPr>
          <w:rFonts w:hint="cs"/>
          <w:rtl/>
        </w:rPr>
        <w:tab/>
        <w:t xml:space="preserve">נוכח המסקנה האמורה, ומשהעלתה העוררת התנגדות להמצאת המסמכים מטעמים הנוגעים לחיסיון, נדרשת הכרעה בשאלה של הסרת החיסיון וזאת בהתאם לנוסחת האיזון הקבועה בסעיף 50א לפקודה. בהקשר זה, יוזכר כי שני הצדדים טענו </w:t>
      </w:r>
      <w:proofErr w:type="spellStart"/>
      <w:r>
        <w:rPr>
          <w:rFonts w:hint="cs"/>
          <w:rtl/>
        </w:rPr>
        <w:t>בערריהם</w:t>
      </w:r>
      <w:proofErr w:type="spellEnd"/>
      <w:r>
        <w:rPr>
          <w:rFonts w:hint="cs"/>
          <w:rtl/>
        </w:rPr>
        <w:t xml:space="preserve"> לבית המשפט המחוזי כי בחינה כזו לא נעשתה על-ידי בית משפט השלום. בהמשך, אף בית המשפט המחוזי לא נדרש להכריע בשאלה זו נוכח הגישה שאימץ ביחס להיקפה של חובת הדיווח. בנסיבות אלו, ומשהובהר סדר הדברים הראוי במקרים מסוג זה, בקשת המדינה למתן צו להמצאת מסמכים לפי סעיף 43 לפקודת סדר הדין הפלילי, תידון מחדש בבית משפט השלום, אשר יכריע בה בהתאם לחוכמתו </w:t>
      </w:r>
      <w:r w:rsidR="000F30DA">
        <w:rPr>
          <w:rFonts w:hint="cs"/>
          <w:rtl/>
        </w:rPr>
        <w:t>ועל-</w:t>
      </w:r>
      <w:r>
        <w:rPr>
          <w:rFonts w:hint="cs"/>
          <w:rtl/>
        </w:rPr>
        <w:t xml:space="preserve">פי מכלול נסיבות העניין בהתאם לנוסחת האיזון בסעיף 50א לפקודה, לאחר קיום דיון במעמד הצדדים. כזכור, ביני וביני הגישה המדינה בקשה נוספת לבית משפט השלום, שבה עתרה להסרת החיסיון ולהמצאת מסמכים נוספים מתוך התיק הטיפולי, וזו עודה תלויה ועומדת. על רקע זה, יש מקום לאפשר לבית משפט השלום להכריע באופן סדור ומאוחד במכלול הבקשות להסרת החיסיון ולהמצאת מסמכים טיפוליים המצויים בידי העוררת. מטבע הדברים, טענותיהם של הצדדים בהקשר זה שמורות להם. </w:t>
      </w:r>
    </w:p>
    <w:p w14:paraId="343AE2F4" w14:textId="77777777" w:rsidR="006A687A" w:rsidRDefault="006A687A" w:rsidP="006A687A">
      <w:pPr>
        <w:pStyle w:val="Ruller41"/>
        <w:rPr>
          <w:rtl/>
        </w:rPr>
      </w:pPr>
      <w:r>
        <w:rPr>
          <w:rFonts w:hint="cs"/>
          <w:rtl/>
        </w:rPr>
        <w:t xml:space="preserve"> </w:t>
      </w:r>
    </w:p>
    <w:p w14:paraId="52216F46" w14:textId="5DDD169A" w:rsidR="000F30DA" w:rsidRPr="00DF0EDD" w:rsidRDefault="000F30DA" w:rsidP="005E1A05">
      <w:pPr>
        <w:pStyle w:val="Ruller41"/>
        <w:rPr>
          <w:rtl/>
        </w:rPr>
      </w:pPr>
      <w:r w:rsidRPr="00DF0EDD">
        <w:rPr>
          <w:rFonts w:hint="cs"/>
          <w:rtl/>
        </w:rPr>
        <w:t>78.</w:t>
      </w:r>
      <w:r w:rsidRPr="00DF0EDD">
        <w:rPr>
          <w:rFonts w:hint="cs"/>
          <w:rtl/>
        </w:rPr>
        <w:tab/>
        <w:t xml:space="preserve">לא אוכל לחתום את דברי מבלי לחזור ולהעלות על נס את חשיבותה של חובת הדיווח על פגיעה בקטינים ובחסרי ישע. התוויית הדרך למימושה, תוך התחשבות בכללי </w:t>
      </w:r>
      <w:r w:rsidRPr="00DF0EDD">
        <w:rPr>
          <w:rFonts w:hint="cs"/>
          <w:rtl/>
        </w:rPr>
        <w:lastRenderedPageBreak/>
        <w:t xml:space="preserve">החיסיון החלים על </w:t>
      </w:r>
      <w:r w:rsidR="005E1A05" w:rsidRPr="00DF0EDD">
        <w:rPr>
          <w:rFonts w:hint="cs"/>
          <w:rtl/>
        </w:rPr>
        <w:t xml:space="preserve">בעלי </w:t>
      </w:r>
      <w:r w:rsidRPr="00DF0EDD">
        <w:rPr>
          <w:rFonts w:hint="cs"/>
          <w:rtl/>
        </w:rPr>
        <w:t xml:space="preserve">מקצוע בתחום הטיפול, אינה גורעת מתוקפה. עוד חשוב לחזור ולהזכיר כי חובה זו חלה, בכל הנוגע לעבירה שנעברה "זה מקרוב" על כל אדם, ולא רק על </w:t>
      </w:r>
      <w:r w:rsidR="005E1A05" w:rsidRPr="00DF0EDD">
        <w:rPr>
          <w:rFonts w:hint="cs"/>
          <w:rtl/>
        </w:rPr>
        <w:t xml:space="preserve">בעלי </w:t>
      </w:r>
      <w:r w:rsidRPr="00DF0EDD">
        <w:rPr>
          <w:rFonts w:hint="cs"/>
          <w:rtl/>
        </w:rPr>
        <w:t xml:space="preserve">מקצוע (כפי שמורים סעיפים קטנים (א) ו-(ג1) לסעיף 368ד של חוק העונשין). מימושה של חובה זו אינו בגדר הלשנה או מסירה, אלא הצלת נפשות ממש. יש לשבור את קשר השתיקה ולא לעמוד מנגד, בבחינת "לא תעמוד על דם רעך". </w:t>
      </w:r>
    </w:p>
    <w:p w14:paraId="67B6B8F4" w14:textId="77777777" w:rsidR="000F30DA" w:rsidRPr="00DF0EDD" w:rsidRDefault="000F30DA" w:rsidP="000F30DA">
      <w:pPr>
        <w:pStyle w:val="Ruller41"/>
        <w:rPr>
          <w:rtl/>
        </w:rPr>
      </w:pPr>
      <w:r w:rsidRPr="00DF0EDD">
        <w:rPr>
          <w:rFonts w:hint="cs"/>
          <w:rtl/>
        </w:rPr>
        <w:t xml:space="preserve"> </w:t>
      </w:r>
    </w:p>
    <w:p w14:paraId="67E25163" w14:textId="6449A32C" w:rsidR="000F30DA" w:rsidRDefault="000F30DA" w:rsidP="000F30DA">
      <w:pPr>
        <w:pStyle w:val="Ruller41"/>
        <w:rPr>
          <w:rtl/>
        </w:rPr>
      </w:pPr>
      <w:r w:rsidRPr="00DF0EDD">
        <w:rPr>
          <w:rFonts w:hint="cs"/>
          <w:rtl/>
        </w:rPr>
        <w:t>79.</w:t>
      </w:r>
      <w:r w:rsidRPr="00DF0EDD">
        <w:rPr>
          <w:rFonts w:hint="cs"/>
          <w:rtl/>
        </w:rPr>
        <w:tab/>
        <w:t>סוף דבר: אציע לחברי לקבל את הערר בהתאם לאמור בפסקה 77 לעיל.</w:t>
      </w:r>
      <w:r>
        <w:rPr>
          <w:rFonts w:hint="cs"/>
          <w:rtl/>
        </w:rPr>
        <w:t xml:space="preserve"> </w:t>
      </w:r>
    </w:p>
    <w:p w14:paraId="76717DEA" w14:textId="7C95A4FC" w:rsidR="004649AB" w:rsidRDefault="004649AB" w:rsidP="000F30DA">
      <w:pPr>
        <w:pStyle w:val="Ruller41"/>
        <w:rPr>
          <w:rtl/>
        </w:rPr>
      </w:pPr>
    </w:p>
    <w:p w14:paraId="13E76025" w14:textId="77777777" w:rsidR="00E257F1" w:rsidRDefault="00E257F1" w:rsidP="000F30DA">
      <w:pPr>
        <w:pStyle w:val="Ruller41"/>
        <w:rPr>
          <w:rtl/>
        </w:rPr>
      </w:pPr>
    </w:p>
    <w:p w14:paraId="6ACA0ECE" w14:textId="3C903651" w:rsidR="004649AB" w:rsidRDefault="00CB00EE" w:rsidP="004649AB">
      <w:pPr>
        <w:pStyle w:val="Ruller41"/>
        <w:rPr>
          <w:rFonts w:ascii="Century" w:hAnsi="Century" w:cs="Miriam"/>
          <w:b/>
          <w:spacing w:val="0"/>
          <w:szCs w:val="24"/>
          <w:rtl/>
        </w:rPr>
      </w:pPr>
      <w:r>
        <w:rPr>
          <w:rtl/>
        </w:rPr>
        <w:tab/>
      </w:r>
      <w:r>
        <w:rPr>
          <w:rtl/>
        </w:rPr>
        <w:tab/>
      </w:r>
      <w:r>
        <w:rPr>
          <w:rtl/>
        </w:rPr>
        <w:tab/>
      </w:r>
      <w:r>
        <w:rPr>
          <w:rtl/>
        </w:rPr>
        <w:tab/>
      </w:r>
      <w:r>
        <w:rPr>
          <w:rtl/>
        </w:rPr>
        <w:tab/>
      </w:r>
      <w:r>
        <w:rPr>
          <w:rtl/>
        </w:rPr>
        <w:tab/>
      </w:r>
      <w:r>
        <w:rPr>
          <w:rtl/>
        </w:rPr>
        <w:tab/>
      </w:r>
      <w:r>
        <w:rPr>
          <w:rtl/>
        </w:rPr>
        <w:tab/>
      </w:r>
      <w:r>
        <w:rPr>
          <w:rtl/>
        </w:rPr>
        <w:tab/>
      </w:r>
      <w:r>
        <w:rPr>
          <w:rtl/>
        </w:rPr>
        <w:tab/>
      </w:r>
      <w:r w:rsidRPr="00CB00EE">
        <w:rPr>
          <w:rFonts w:ascii="Century" w:hAnsi="Century" w:cs="Miriam" w:hint="cs"/>
          <w:b/>
          <w:spacing w:val="0"/>
          <w:szCs w:val="24"/>
          <w:rtl/>
        </w:rPr>
        <w:t>ש ו פ ט ת</w:t>
      </w:r>
    </w:p>
    <w:p w14:paraId="0DA62A5D" w14:textId="6F750EE1" w:rsidR="004649AB" w:rsidRDefault="004649AB" w:rsidP="004649AB">
      <w:pPr>
        <w:pStyle w:val="Ruller41"/>
        <w:rPr>
          <w:rFonts w:ascii="Century" w:hAnsi="Century" w:cs="Miriam"/>
          <w:b/>
          <w:spacing w:val="0"/>
          <w:szCs w:val="24"/>
          <w:rtl/>
        </w:rPr>
      </w:pPr>
    </w:p>
    <w:p w14:paraId="64D2E39C" w14:textId="77777777" w:rsidR="00CB00EE" w:rsidRPr="00503A3E" w:rsidRDefault="00CB00EE" w:rsidP="00CB00EE">
      <w:pPr>
        <w:pStyle w:val="BODYVERDICT"/>
        <w:rPr>
          <w:rFonts w:cs="Miriam"/>
          <w:sz w:val="24"/>
          <w:szCs w:val="24"/>
          <w:u w:val="single"/>
          <w:rtl/>
        </w:rPr>
      </w:pPr>
      <w:r>
        <w:rPr>
          <w:rFonts w:cs="Miriam"/>
          <w:sz w:val="24"/>
          <w:szCs w:val="24"/>
          <w:u w:val="single"/>
          <w:rtl/>
        </w:rPr>
        <w:t>השופטת ע' ברון</w:t>
      </w:r>
      <w:r w:rsidRPr="00FE1164">
        <w:rPr>
          <w:rFonts w:cs="Miriam"/>
          <w:sz w:val="24"/>
          <w:szCs w:val="24"/>
          <w:rtl/>
        </w:rPr>
        <w:t>:</w:t>
      </w:r>
    </w:p>
    <w:p w14:paraId="0972D063" w14:textId="77777777" w:rsidR="00CB00EE" w:rsidRDefault="00CB00EE" w:rsidP="00CB00EE">
      <w:pPr>
        <w:pStyle w:val="Ruller41"/>
        <w:rPr>
          <w:rtl/>
        </w:rPr>
      </w:pPr>
    </w:p>
    <w:p w14:paraId="14B10AFB" w14:textId="02C7F941" w:rsidR="00CB00EE" w:rsidRDefault="00CB00EE" w:rsidP="00FE3EDC">
      <w:pPr>
        <w:pStyle w:val="Ruller41"/>
        <w:rPr>
          <w:rtl/>
        </w:rPr>
      </w:pPr>
      <w:r>
        <w:rPr>
          <w:rtl/>
        </w:rPr>
        <w:tab/>
      </w:r>
      <w:r>
        <w:rPr>
          <w:rFonts w:hint="cs"/>
          <w:rtl/>
        </w:rPr>
        <w:t xml:space="preserve">החיסיון וחובת השמירה על סודיות החלים על פי חוק על מידע המוחלף בין מטפל ומטופל, </w:t>
      </w:r>
      <w:r w:rsidR="00FE3EDC">
        <w:rPr>
          <w:rFonts w:hint="cs"/>
          <w:rtl/>
        </w:rPr>
        <w:t>הם</w:t>
      </w:r>
      <w:r>
        <w:rPr>
          <w:rFonts w:hint="cs"/>
          <w:rtl/>
        </w:rPr>
        <w:t xml:space="preserve"> מתבקש</w:t>
      </w:r>
      <w:r w:rsidR="00FE3EDC">
        <w:rPr>
          <w:rFonts w:hint="cs"/>
          <w:rtl/>
        </w:rPr>
        <w:t>ים</w:t>
      </w:r>
      <w:r>
        <w:rPr>
          <w:rFonts w:hint="cs"/>
          <w:rtl/>
        </w:rPr>
        <w:t xml:space="preserve"> ומוב</w:t>
      </w:r>
      <w:r w:rsidR="00FE3EDC">
        <w:rPr>
          <w:rFonts w:hint="cs"/>
          <w:rtl/>
        </w:rPr>
        <w:t>נים</w:t>
      </w:r>
      <w:r>
        <w:rPr>
          <w:rFonts w:hint="cs"/>
          <w:rtl/>
        </w:rPr>
        <w:t xml:space="preserve"> מאלי</w:t>
      </w:r>
      <w:r w:rsidR="00FE3EDC">
        <w:rPr>
          <w:rFonts w:hint="cs"/>
          <w:rtl/>
        </w:rPr>
        <w:t>הם</w:t>
      </w:r>
      <w:r>
        <w:rPr>
          <w:rFonts w:hint="cs"/>
          <w:rtl/>
        </w:rPr>
        <w:t>. כך על מנת לאפשר למטופל לפתוח את סגור ליבו לפני המטפל, וכך בהיבט של תכליות הטיפול והרצון לעודדו מקום שהטיפול נדרש. בה בעת לא ניתן להפריז בחשיבות חובת הדיווח לרשויות המוסמכות החלה על מטפל, ובענייננו על עובד סוציאלי. זאת משעה שבתוקף עיסוקו במקצועו הגיע לידי המטפל מידע המעלה יסוד סביר לחשוב כי נעברה עבירה בקטין או חסר ישע בידי אחראי עליו.</w:t>
      </w:r>
    </w:p>
    <w:p w14:paraId="66FF0EAE" w14:textId="77777777" w:rsidR="00CB00EE" w:rsidRDefault="00CB00EE" w:rsidP="00CB00EE">
      <w:pPr>
        <w:pStyle w:val="Ruller41"/>
        <w:spacing w:line="240" w:lineRule="auto"/>
        <w:rPr>
          <w:rtl/>
        </w:rPr>
      </w:pPr>
    </w:p>
    <w:p w14:paraId="61E31EB2" w14:textId="65537E2A" w:rsidR="00CB00EE" w:rsidRDefault="00CB00EE" w:rsidP="00CB00EE">
      <w:pPr>
        <w:pStyle w:val="Ruller41"/>
        <w:rPr>
          <w:rtl/>
        </w:rPr>
      </w:pPr>
      <w:r>
        <w:rPr>
          <w:rtl/>
        </w:rPr>
        <w:tab/>
      </w:r>
      <w:r>
        <w:rPr>
          <w:rFonts w:hint="cs"/>
          <w:rtl/>
        </w:rPr>
        <w:t xml:space="preserve">על המתח שבין הזכות לחיסיון ולסודיות הנתונה למטופל ובין חובת הדיווח החלה על המטפל, יש לגשר על ידי כך שחובת הדיווח תגודר לפרטי המקרה הידועים למטפל ולאופן הגעת הפרטים לידיעתו, להבדיל ממסירת רשומות מתוך התיק הטיפולי. מעבר לכך, דרישה לחשיפת מסמכים, מן הראוי שתיוחד לאותם מקרים שבהם סבורה המשטרה כי חשיפת מידע נוסף על הדיווח היא חיונית; וכי הדיון בהקשר זה יהיה מבוקר ומפוקח על ידי בית המשפט, תוך מתן הזדמנות למטפל להתנגד להמצאת המסמכים; שאז בית המשפט יידרש לסוגיה ויכריע בה תוך עריכת </w:t>
      </w:r>
      <w:proofErr w:type="spellStart"/>
      <w:r>
        <w:rPr>
          <w:rFonts w:hint="cs"/>
          <w:rtl/>
        </w:rPr>
        <w:t>האיזונים</w:t>
      </w:r>
      <w:proofErr w:type="spellEnd"/>
      <w:r>
        <w:rPr>
          <w:rFonts w:hint="cs"/>
          <w:rtl/>
        </w:rPr>
        <w:t xml:space="preserve"> המתאימים בין האינטרסים הנוגדים. אמות המידה וסדר הפעולות כפי שהיטיבה חברתי השופטת </w:t>
      </w:r>
      <w:r w:rsidRPr="003F3E60">
        <w:rPr>
          <w:rFonts w:ascii="Century" w:hAnsi="Century" w:cs="Miriam" w:hint="cs"/>
          <w:b/>
          <w:spacing w:val="0"/>
          <w:szCs w:val="24"/>
          <w:rtl/>
        </w:rPr>
        <w:t>ד'</w:t>
      </w:r>
      <w:r>
        <w:rPr>
          <w:rFonts w:hint="cs"/>
          <w:rtl/>
        </w:rPr>
        <w:t xml:space="preserve"> </w:t>
      </w:r>
      <w:r w:rsidRPr="00B276D1">
        <w:rPr>
          <w:rFonts w:ascii="Century" w:hAnsi="Century" w:cs="Miriam" w:hint="cs"/>
          <w:b/>
          <w:spacing w:val="0"/>
          <w:szCs w:val="24"/>
          <w:rtl/>
        </w:rPr>
        <w:t>ברק-ארז</w:t>
      </w:r>
      <w:r>
        <w:rPr>
          <w:rFonts w:hint="cs"/>
          <w:rtl/>
        </w:rPr>
        <w:t xml:space="preserve"> להתוות בחוות דעתה המקיפה נועדו לשרת </w:t>
      </w:r>
      <w:proofErr w:type="spellStart"/>
      <w:r>
        <w:rPr>
          <w:rFonts w:hint="cs"/>
          <w:rtl/>
        </w:rPr>
        <w:t>איזונים</w:t>
      </w:r>
      <w:proofErr w:type="spellEnd"/>
      <w:r>
        <w:rPr>
          <w:rFonts w:hint="cs"/>
          <w:rtl/>
        </w:rPr>
        <w:t xml:space="preserve"> אלה, ואני מצרפת את הסכמתי הן לדרך הילוכה הן לתוצאה שאליה הגיעה.</w:t>
      </w:r>
    </w:p>
    <w:p w14:paraId="41E3E092" w14:textId="23640D46" w:rsidR="00E257F1" w:rsidRDefault="00E257F1" w:rsidP="00CB00EE">
      <w:pPr>
        <w:pStyle w:val="Ruller41"/>
        <w:rPr>
          <w:rtl/>
        </w:rPr>
      </w:pPr>
    </w:p>
    <w:p w14:paraId="505DEA81" w14:textId="77777777" w:rsidR="00E257F1" w:rsidRDefault="00E257F1" w:rsidP="00CB00EE">
      <w:pPr>
        <w:pStyle w:val="Ruller41"/>
        <w:rPr>
          <w:rtl/>
        </w:rPr>
      </w:pPr>
    </w:p>
    <w:p w14:paraId="3E148E52" w14:textId="4BB4416D" w:rsidR="00CB00EE" w:rsidRDefault="00CB00EE" w:rsidP="00CB00EE">
      <w:pPr>
        <w:pStyle w:val="Ruller41"/>
        <w:rPr>
          <w:rFonts w:ascii="Century" w:hAnsi="Century" w:cs="Miriam"/>
          <w:b/>
          <w:spacing w:val="0"/>
          <w:szCs w:val="24"/>
          <w:rtl/>
        </w:rPr>
      </w:pPr>
      <w:r>
        <w:rPr>
          <w:rtl/>
        </w:rPr>
        <w:tab/>
      </w:r>
      <w:r>
        <w:rPr>
          <w:rtl/>
        </w:rPr>
        <w:tab/>
      </w:r>
      <w:r>
        <w:rPr>
          <w:rtl/>
        </w:rPr>
        <w:tab/>
      </w:r>
      <w:r>
        <w:rPr>
          <w:rtl/>
        </w:rPr>
        <w:tab/>
      </w:r>
      <w:r>
        <w:rPr>
          <w:rtl/>
        </w:rPr>
        <w:tab/>
      </w:r>
      <w:r>
        <w:rPr>
          <w:rtl/>
        </w:rPr>
        <w:tab/>
      </w:r>
      <w:r>
        <w:rPr>
          <w:rtl/>
        </w:rPr>
        <w:tab/>
      </w:r>
      <w:r>
        <w:rPr>
          <w:rtl/>
        </w:rPr>
        <w:tab/>
      </w:r>
      <w:r>
        <w:rPr>
          <w:rtl/>
        </w:rPr>
        <w:tab/>
      </w:r>
      <w:r>
        <w:rPr>
          <w:rtl/>
        </w:rPr>
        <w:tab/>
      </w:r>
      <w:r>
        <w:rPr>
          <w:rFonts w:hint="cs"/>
          <w:rtl/>
        </w:rPr>
        <w:t xml:space="preserve"> </w:t>
      </w:r>
      <w:r w:rsidRPr="00655963">
        <w:rPr>
          <w:rFonts w:ascii="Century" w:hAnsi="Century" w:cs="Miriam" w:hint="cs"/>
          <w:b/>
          <w:spacing w:val="0"/>
          <w:szCs w:val="24"/>
          <w:rtl/>
        </w:rPr>
        <w:t>ש ו פ ט ת</w:t>
      </w:r>
    </w:p>
    <w:p w14:paraId="5D3EDE1E" w14:textId="65AABF49" w:rsidR="004649AB" w:rsidRPr="004649AB" w:rsidRDefault="004649AB" w:rsidP="00CB00EE">
      <w:pPr>
        <w:pStyle w:val="Ruller41"/>
        <w:rPr>
          <w:rFonts w:ascii="Century" w:hAnsi="Century" w:cs="Miriam"/>
          <w:b/>
          <w:spacing w:val="0"/>
          <w:sz w:val="16"/>
          <w:szCs w:val="18"/>
          <w:rtl/>
        </w:rPr>
      </w:pPr>
    </w:p>
    <w:p w14:paraId="3BBC4882" w14:textId="77777777" w:rsidR="00EF0EA6" w:rsidRPr="00B72205" w:rsidRDefault="00EF0EA6" w:rsidP="00EF0EA6">
      <w:pPr>
        <w:pStyle w:val="Ruller41"/>
        <w:rPr>
          <w:rFonts w:ascii="Century" w:hAnsi="Century"/>
          <w:rtl/>
        </w:rPr>
      </w:pPr>
      <w:r w:rsidRPr="00EF0EA6">
        <w:rPr>
          <w:rFonts w:ascii="Century" w:hAnsi="Century" w:cs="Miriam" w:hint="cs"/>
          <w:b/>
          <w:spacing w:val="0"/>
          <w:szCs w:val="24"/>
          <w:u w:val="single"/>
          <w:rtl/>
        </w:rPr>
        <w:lastRenderedPageBreak/>
        <w:t>השופט י' עמית</w:t>
      </w:r>
      <w:r w:rsidRPr="00B72205">
        <w:rPr>
          <w:rFonts w:ascii="Century" w:hAnsi="Century" w:hint="cs"/>
          <w:rtl/>
        </w:rPr>
        <w:t>:</w:t>
      </w:r>
    </w:p>
    <w:p w14:paraId="413688E8" w14:textId="77777777" w:rsidR="00EF0EA6" w:rsidRPr="00B72205" w:rsidRDefault="00EF0EA6" w:rsidP="00EF0EA6">
      <w:pPr>
        <w:pStyle w:val="Ruller41"/>
        <w:rPr>
          <w:rFonts w:ascii="Century" w:hAnsi="Century"/>
          <w:rtl/>
        </w:rPr>
      </w:pPr>
      <w:r w:rsidRPr="00B72205">
        <w:rPr>
          <w:rFonts w:ascii="Century" w:hAnsi="Century"/>
          <w:rtl/>
        </w:rPr>
        <w:tab/>
      </w:r>
    </w:p>
    <w:p w14:paraId="7A071332" w14:textId="5076F69C" w:rsidR="00655963" w:rsidRPr="00B72205" w:rsidRDefault="00EF0EA6" w:rsidP="00FE3EDC">
      <w:pPr>
        <w:pStyle w:val="Ruller41"/>
        <w:rPr>
          <w:rFonts w:ascii="Century" w:hAnsi="Century"/>
          <w:rtl/>
        </w:rPr>
      </w:pPr>
      <w:r>
        <w:rPr>
          <w:rFonts w:ascii="Century" w:hAnsi="Century" w:hint="cs"/>
          <w:rtl/>
        </w:rPr>
        <w:t>1.</w:t>
      </w:r>
      <w:r>
        <w:rPr>
          <w:rFonts w:ascii="Century" w:hAnsi="Century"/>
          <w:rtl/>
        </w:rPr>
        <w:tab/>
      </w:r>
      <w:r w:rsidRPr="00B72205">
        <w:rPr>
          <w:rFonts w:ascii="Century" w:hAnsi="Century" w:hint="cs"/>
          <w:rtl/>
        </w:rPr>
        <w:t>"הדיסקרטיות והסודיות היא אבן הבסיס של הקשר הטיפולי, מעין אקסיומה ביחסי מטופל-מטפל" (החלטתי ב</w:t>
      </w:r>
      <w:r w:rsidRPr="00B72205">
        <w:rPr>
          <w:rFonts w:ascii="Century" w:hAnsi="Century"/>
          <w:rtl/>
        </w:rPr>
        <w:t>ת</w:t>
      </w:r>
      <w:r w:rsidRPr="00B72205">
        <w:rPr>
          <w:rFonts w:ascii="Century" w:hAnsi="Century" w:hint="cs"/>
          <w:rtl/>
        </w:rPr>
        <w:t>"</w:t>
      </w:r>
      <w:r w:rsidRPr="00B72205">
        <w:rPr>
          <w:rFonts w:ascii="Century" w:hAnsi="Century"/>
          <w:rtl/>
        </w:rPr>
        <w:t>א (</w:t>
      </w:r>
      <w:r w:rsidRPr="00B72205">
        <w:rPr>
          <w:rFonts w:ascii="Century" w:hAnsi="Century" w:hint="cs"/>
          <w:rtl/>
        </w:rPr>
        <w:t xml:space="preserve">מחוזי </w:t>
      </w:r>
      <w:r w:rsidRPr="00B72205">
        <w:rPr>
          <w:rFonts w:ascii="Century" w:hAnsi="Century"/>
          <w:rtl/>
        </w:rPr>
        <w:t>חי</w:t>
      </w:r>
      <w:r w:rsidRPr="00B72205">
        <w:rPr>
          <w:rFonts w:ascii="Century" w:hAnsi="Century" w:hint="cs"/>
          <w:rtl/>
        </w:rPr>
        <w:t>'</w:t>
      </w:r>
      <w:r w:rsidRPr="00B72205">
        <w:rPr>
          <w:rFonts w:ascii="Century" w:hAnsi="Century"/>
          <w:rtl/>
        </w:rPr>
        <w:t xml:space="preserve">) 995/05 </w:t>
      </w:r>
      <w:r w:rsidRPr="00B72205">
        <w:rPr>
          <w:rFonts w:ascii="Century" w:hAnsi="Century" w:cs="Miriam"/>
          <w:b/>
          <w:spacing w:val="0"/>
          <w:szCs w:val="24"/>
          <w:rtl/>
        </w:rPr>
        <w:t xml:space="preserve">פלוני נ' מיקוד אבטחה שמירה שירותים </w:t>
      </w:r>
      <w:proofErr w:type="spellStart"/>
      <w:r w:rsidRPr="00B72205">
        <w:rPr>
          <w:rFonts w:ascii="Century" w:hAnsi="Century" w:cs="Miriam"/>
          <w:b/>
          <w:spacing w:val="0"/>
          <w:szCs w:val="24"/>
          <w:rtl/>
        </w:rPr>
        <w:t>ונקיון</w:t>
      </w:r>
      <w:proofErr w:type="spellEnd"/>
      <w:r w:rsidRPr="00B72205">
        <w:rPr>
          <w:rFonts w:ascii="Century" w:hAnsi="Century" w:cs="Miriam"/>
          <w:b/>
          <w:spacing w:val="0"/>
          <w:szCs w:val="24"/>
          <w:rtl/>
        </w:rPr>
        <w:t xml:space="preserve"> בע"מ</w:t>
      </w:r>
      <w:r w:rsidRPr="00B72205">
        <w:rPr>
          <w:rFonts w:ascii="Century" w:hAnsi="Century" w:hint="cs"/>
          <w:rtl/>
        </w:rPr>
        <w:t>,</w:t>
      </w:r>
      <w:r w:rsidRPr="00B72205">
        <w:rPr>
          <w:rFonts w:ascii="Century" w:hAnsi="Century"/>
          <w:rtl/>
        </w:rPr>
        <w:t xml:space="preserve"> </w:t>
      </w:r>
      <w:r w:rsidRPr="00B72205">
        <w:rPr>
          <w:rFonts w:ascii="Century" w:hAnsi="Century" w:hint="cs"/>
          <w:rtl/>
        </w:rPr>
        <w:t>בפסקה</w:t>
      </w:r>
      <w:r w:rsidRPr="00B72205">
        <w:rPr>
          <w:rFonts w:ascii="Century" w:hAnsi="Century"/>
          <w:rtl/>
        </w:rPr>
        <w:t xml:space="preserve"> 1</w:t>
      </w:r>
      <w:r w:rsidRPr="00B72205">
        <w:rPr>
          <w:rFonts w:ascii="Century" w:hAnsi="Century" w:hint="cs"/>
          <w:rtl/>
        </w:rPr>
        <w:t>7</w:t>
      </w:r>
      <w:r w:rsidRPr="00B72205">
        <w:rPr>
          <w:rFonts w:ascii="Century" w:hAnsi="Century"/>
          <w:rtl/>
        </w:rPr>
        <w:t xml:space="preserve"> (30.11.2006)</w:t>
      </w:r>
      <w:r w:rsidRPr="00B72205">
        <w:rPr>
          <w:rFonts w:ascii="Century" w:hAnsi="Century" w:hint="cs"/>
          <w:rtl/>
        </w:rPr>
        <w:t>). מטבע הדברים, הפסיקה הדגישה את נקודת מבטו של המטופל-נפגע העבירה, ולא אחת נאמר בפסיקה כי פגיעה בח</w:t>
      </w:r>
      <w:r>
        <w:rPr>
          <w:rFonts w:ascii="Century" w:hAnsi="Century" w:hint="cs"/>
          <w:rtl/>
        </w:rPr>
        <w:t xml:space="preserve">ובת </w:t>
      </w:r>
      <w:r w:rsidRPr="00B72205">
        <w:rPr>
          <w:rFonts w:ascii="Century" w:hAnsi="Century" w:hint="cs"/>
          <w:rtl/>
        </w:rPr>
        <w:t>הסודיות ובחיסיון עלולה "לפגוע במערכת היחסים הרגישה בין המטפל למטופל, ואף באפקטיביות הטיפול כולו, ולהרתיע נפגעי עבירה מפני פניה לטיפול או מפני הגשת תלונה</w:t>
      </w:r>
      <w:r>
        <w:rPr>
          <w:rFonts w:ascii="Century" w:hAnsi="Century" w:hint="cs"/>
          <w:rtl/>
        </w:rPr>
        <w:t>"</w:t>
      </w:r>
      <w:r w:rsidRPr="00B72205">
        <w:rPr>
          <w:rFonts w:ascii="Century" w:hAnsi="Century" w:hint="cs"/>
          <w:rtl/>
        </w:rPr>
        <w:t xml:space="preserve"> (</w:t>
      </w:r>
      <w:proofErr w:type="spellStart"/>
      <w:r w:rsidRPr="00B72205">
        <w:rPr>
          <w:rFonts w:ascii="Century" w:hAnsi="Century"/>
          <w:rtl/>
        </w:rPr>
        <w:t>בש"פ</w:t>
      </w:r>
      <w:proofErr w:type="spellEnd"/>
      <w:r w:rsidRPr="00B72205">
        <w:rPr>
          <w:rFonts w:ascii="Century" w:hAnsi="Century"/>
          <w:rtl/>
        </w:rPr>
        <w:t xml:space="preserve"> 8555/06 </w:t>
      </w:r>
      <w:r w:rsidRPr="00B72205">
        <w:rPr>
          <w:rFonts w:ascii="Century" w:hAnsi="Century" w:cs="Miriam"/>
          <w:b/>
          <w:spacing w:val="0"/>
          <w:szCs w:val="24"/>
          <w:rtl/>
        </w:rPr>
        <w:t>פלוני נ' מדינת ישראל</w:t>
      </w:r>
      <w:r w:rsidRPr="00B72205">
        <w:rPr>
          <w:rFonts w:ascii="Century" w:hAnsi="Century"/>
          <w:rtl/>
        </w:rPr>
        <w:t xml:space="preserve">, </w:t>
      </w:r>
      <w:r w:rsidRPr="00B72205">
        <w:rPr>
          <w:rFonts w:ascii="Century" w:hAnsi="Century" w:hint="cs"/>
          <w:rtl/>
        </w:rPr>
        <w:t>ב</w:t>
      </w:r>
      <w:r w:rsidRPr="00B72205">
        <w:rPr>
          <w:rFonts w:ascii="Century" w:hAnsi="Century"/>
          <w:rtl/>
        </w:rPr>
        <w:t>פסקה ז(5) (9.11.2006)</w:t>
      </w:r>
      <w:r w:rsidRPr="00B72205">
        <w:rPr>
          <w:rFonts w:ascii="Century" w:hAnsi="Century" w:hint="cs"/>
          <w:rtl/>
        </w:rPr>
        <w:t xml:space="preserve">). זו הפעם, מאחר שהסוגיה נסבה על חובת הדיווח, החיסיון </w:t>
      </w:r>
      <w:r>
        <w:rPr>
          <w:rFonts w:ascii="Century" w:hAnsi="Century" w:hint="cs"/>
          <w:rtl/>
        </w:rPr>
        <w:t xml:space="preserve">שבו עסקינן </w:t>
      </w:r>
      <w:r w:rsidRPr="00B72205">
        <w:rPr>
          <w:rFonts w:ascii="Century" w:hAnsi="Century" w:hint="cs"/>
          <w:rtl/>
        </w:rPr>
        <w:t>הוא לטובת הפוגע-מבצע העבירה</w:t>
      </w:r>
      <w:r>
        <w:rPr>
          <w:rFonts w:ascii="Century" w:hAnsi="Century" w:hint="cs"/>
          <w:rtl/>
        </w:rPr>
        <w:t>, וליתר דיוק, לטובת ההליך הטיפולי בפוגע</w:t>
      </w:r>
      <w:r w:rsidRPr="00B72205">
        <w:rPr>
          <w:rFonts w:ascii="Century" w:hAnsi="Century" w:hint="cs"/>
          <w:rtl/>
        </w:rPr>
        <w:t xml:space="preserve">. </w:t>
      </w:r>
    </w:p>
    <w:p w14:paraId="7816A6F1" w14:textId="77777777" w:rsidR="00EF0EA6" w:rsidRDefault="00EF0EA6" w:rsidP="00EF0EA6">
      <w:pPr>
        <w:pStyle w:val="Ruller41"/>
        <w:rPr>
          <w:rFonts w:ascii="Century" w:hAnsi="Century"/>
          <w:rtl/>
        </w:rPr>
      </w:pPr>
    </w:p>
    <w:p w14:paraId="180F74F9" w14:textId="77777777" w:rsidR="00EF0EA6" w:rsidRDefault="00EF0EA6" w:rsidP="00EF0EA6">
      <w:pPr>
        <w:pStyle w:val="Ruller41"/>
        <w:rPr>
          <w:rFonts w:ascii="Century" w:hAnsi="Century"/>
          <w:rtl/>
        </w:rPr>
      </w:pPr>
      <w:r>
        <w:rPr>
          <w:rFonts w:ascii="Century" w:hAnsi="Century" w:hint="cs"/>
          <w:rtl/>
        </w:rPr>
        <w:t>2.</w:t>
      </w:r>
      <w:r>
        <w:rPr>
          <w:rFonts w:ascii="Century" w:hAnsi="Century" w:hint="cs"/>
          <w:rtl/>
        </w:rPr>
        <w:tab/>
      </w:r>
      <w:r w:rsidRPr="00B72205">
        <w:rPr>
          <w:rFonts w:ascii="Century" w:hAnsi="Century" w:hint="cs"/>
          <w:rtl/>
        </w:rPr>
        <w:t>חובת הדיווח קיימת ומקוימת מזה שנים, אך עד עתה לא נדרש בית המשפט לסוגי</w:t>
      </w:r>
      <w:r>
        <w:rPr>
          <w:rFonts w:ascii="Century" w:hAnsi="Century" w:hint="cs"/>
          <w:rtl/>
        </w:rPr>
        <w:t>ת ה</w:t>
      </w:r>
      <w:r w:rsidRPr="00B72205">
        <w:rPr>
          <w:rFonts w:ascii="Century" w:hAnsi="Century" w:hint="cs"/>
          <w:rtl/>
        </w:rPr>
        <w:t xml:space="preserve">יחס בין חובת הדיווח לחיסיון ביחסי מטפל-מטופל. דומה כי במקרה </w:t>
      </w:r>
      <w:r>
        <w:rPr>
          <w:rFonts w:ascii="Century" w:hAnsi="Century" w:hint="cs"/>
          <w:rtl/>
        </w:rPr>
        <w:t>שלפנינו</w:t>
      </w:r>
      <w:r w:rsidRPr="00B72205">
        <w:rPr>
          <w:rFonts w:ascii="Century" w:hAnsi="Century" w:hint="cs"/>
          <w:rtl/>
        </w:rPr>
        <w:t xml:space="preserve">, רשויות החקירה לא נהגו ברגישות המתבקשת ועל פי הפרקטיקה הנוהגת במקרים מעין אלה, וכך התגלגלה השאלה לפתחנו. </w:t>
      </w:r>
    </w:p>
    <w:p w14:paraId="24072D08" w14:textId="77777777" w:rsidR="00EF0EA6" w:rsidRDefault="00EF0EA6" w:rsidP="00EF0EA6">
      <w:pPr>
        <w:pStyle w:val="Ruller41"/>
        <w:rPr>
          <w:rFonts w:ascii="Century" w:hAnsi="Century"/>
          <w:rtl/>
        </w:rPr>
      </w:pPr>
    </w:p>
    <w:p w14:paraId="425744B4" w14:textId="2BF2162F" w:rsidR="00EF0EA6" w:rsidRPr="00B72205" w:rsidRDefault="00EF0EA6" w:rsidP="00396957">
      <w:pPr>
        <w:pStyle w:val="Ruller41"/>
        <w:rPr>
          <w:rFonts w:ascii="Century" w:hAnsi="Century"/>
          <w:rtl/>
        </w:rPr>
      </w:pPr>
      <w:r>
        <w:rPr>
          <w:rFonts w:ascii="Century" w:hAnsi="Century" w:hint="cs"/>
          <w:rtl/>
        </w:rPr>
        <w:t>3.</w:t>
      </w:r>
      <w:r>
        <w:rPr>
          <w:rFonts w:ascii="Century" w:hAnsi="Century" w:hint="cs"/>
          <w:rtl/>
        </w:rPr>
        <w:tab/>
        <w:t xml:space="preserve">הורתה של הבקשה שלפנינו בצו שהוצא </w:t>
      </w:r>
      <w:r w:rsidRPr="00B72205">
        <w:rPr>
          <w:rFonts w:ascii="Century" w:hAnsi="Century" w:hint="cs"/>
          <w:rtl/>
        </w:rPr>
        <w:t>לפי סעיף 43 לפקודת סדר הדין הפלילי ((מעצר וחיפוש) (נוסח חדש), התשכ"ט-19</w:t>
      </w:r>
      <w:r>
        <w:rPr>
          <w:rFonts w:ascii="Century" w:hAnsi="Century" w:hint="cs"/>
          <w:rtl/>
        </w:rPr>
        <w:t>6</w:t>
      </w:r>
      <w:r w:rsidRPr="00B72205">
        <w:rPr>
          <w:rFonts w:ascii="Century" w:hAnsi="Century" w:hint="cs"/>
          <w:rtl/>
        </w:rPr>
        <w:t>9</w:t>
      </w:r>
      <w:r>
        <w:rPr>
          <w:rFonts w:ascii="Century" w:hAnsi="Century" w:hint="cs"/>
          <w:rtl/>
        </w:rPr>
        <w:t xml:space="preserve"> (להלן: </w:t>
      </w:r>
      <w:proofErr w:type="spellStart"/>
      <w:r w:rsidRPr="00B72205">
        <w:rPr>
          <w:rFonts w:ascii="Century" w:hAnsi="Century" w:cs="Miriam" w:hint="cs"/>
          <w:b/>
          <w:spacing w:val="0"/>
          <w:szCs w:val="24"/>
          <w:rtl/>
        </w:rPr>
        <w:t>הפסד"פ</w:t>
      </w:r>
      <w:proofErr w:type="spellEnd"/>
      <w:r>
        <w:rPr>
          <w:rFonts w:ascii="Century" w:hAnsi="Century" w:hint="cs"/>
          <w:rtl/>
        </w:rPr>
        <w:t xml:space="preserve">). מעטים המקרים בהם נדרשת </w:t>
      </w:r>
      <w:r w:rsidRPr="00B72205">
        <w:rPr>
          <w:rFonts w:ascii="Century" w:hAnsi="Century" w:hint="cs"/>
          <w:rtl/>
        </w:rPr>
        <w:t xml:space="preserve">ערכאת הערעור </w:t>
      </w:r>
      <w:r>
        <w:rPr>
          <w:rFonts w:ascii="Century" w:hAnsi="Century" w:hint="cs"/>
          <w:rtl/>
        </w:rPr>
        <w:t xml:space="preserve">לדון בצו שהוצא על פי סעיף 43 </w:t>
      </w:r>
      <w:proofErr w:type="spellStart"/>
      <w:r>
        <w:rPr>
          <w:rFonts w:ascii="Century" w:hAnsi="Century" w:hint="cs"/>
          <w:rtl/>
        </w:rPr>
        <w:t>לפסד"פ</w:t>
      </w:r>
      <w:proofErr w:type="spellEnd"/>
      <w:r>
        <w:rPr>
          <w:rFonts w:ascii="Century" w:hAnsi="Century" w:hint="cs"/>
          <w:rtl/>
        </w:rPr>
        <w:t xml:space="preserve">, מאחר שבמצב הדברים הרגיל </w:t>
      </w:r>
      <w:r w:rsidRPr="00B72205">
        <w:rPr>
          <w:rFonts w:ascii="Century" w:hAnsi="Century"/>
          <w:rtl/>
        </w:rPr>
        <w:t xml:space="preserve">אין לחשוד אפילו פתחון פה לטעון </w:t>
      </w:r>
      <w:r w:rsidRPr="00B72205">
        <w:rPr>
          <w:rFonts w:ascii="Century" w:hAnsi="Century" w:hint="cs"/>
          <w:rtl/>
        </w:rPr>
        <w:t>ל</w:t>
      </w:r>
      <w:r w:rsidRPr="00B72205">
        <w:rPr>
          <w:rFonts w:ascii="Century" w:hAnsi="Century"/>
          <w:rtl/>
        </w:rPr>
        <w:t>פגיעה בחיסיון, באשר הצווים מוצאים לרוב</w:t>
      </w:r>
      <w:r w:rsidRPr="00B72205">
        <w:rPr>
          <w:rFonts w:ascii="Century" w:hAnsi="Century" w:hint="cs"/>
          <w:rtl/>
        </w:rPr>
        <w:t xml:space="preserve"> ללא ידיעתו וללא מעורבותו </w:t>
      </w:r>
      <w:r w:rsidRPr="00B72205">
        <w:rPr>
          <w:rStyle w:val="ae"/>
          <w:rFonts w:ascii="Century" w:hAnsi="Century" w:hint="cs"/>
          <w:rtl/>
        </w:rPr>
        <w:t>(</w:t>
      </w:r>
      <w:proofErr w:type="spellStart"/>
      <w:r w:rsidRPr="00B72205">
        <w:rPr>
          <w:rFonts w:ascii="Century" w:hAnsi="Century"/>
          <w:rtl/>
        </w:rPr>
        <w:t>בש"פ</w:t>
      </w:r>
      <w:proofErr w:type="spellEnd"/>
      <w:r w:rsidRPr="00B72205">
        <w:rPr>
          <w:rFonts w:ascii="Century" w:hAnsi="Century"/>
          <w:rtl/>
        </w:rPr>
        <w:t xml:space="preserve"> 2529/15 </w:t>
      </w:r>
      <w:proofErr w:type="spellStart"/>
      <w:r w:rsidRPr="00FE3EDC">
        <w:rPr>
          <w:rFonts w:asciiTheme="majorBidi" w:hAnsiTheme="majorBidi" w:cstheme="majorBidi"/>
          <w:bCs/>
          <w:spacing w:val="0"/>
          <w:szCs w:val="24"/>
        </w:rPr>
        <w:t>Mazar</w:t>
      </w:r>
      <w:proofErr w:type="spellEnd"/>
      <w:r w:rsidRPr="005D560B">
        <w:rPr>
          <w:rFonts w:ascii="Century" w:hAnsi="Century" w:cs="Miriam"/>
          <w:b/>
          <w:spacing w:val="0"/>
          <w:szCs w:val="24"/>
          <w:rtl/>
        </w:rPr>
        <w:t xml:space="preserve"> </w:t>
      </w:r>
      <w:r w:rsidRPr="00396957">
        <w:rPr>
          <w:rFonts w:ascii="Century" w:hAnsi="Century" w:cs="Miriam"/>
          <w:b/>
          <w:spacing w:val="0"/>
          <w:szCs w:val="24"/>
          <w:rtl/>
        </w:rPr>
        <w:t>נ' היחידה לעזרה משפטית–מדור אינטרפול והפעלה בחו"ל</w:t>
      </w:r>
      <w:r w:rsidRPr="00B72205">
        <w:rPr>
          <w:rFonts w:ascii="Century" w:hAnsi="Century" w:hint="cs"/>
          <w:rtl/>
        </w:rPr>
        <w:t>, פסקה 7</w:t>
      </w:r>
      <w:r w:rsidRPr="00B72205">
        <w:rPr>
          <w:rFonts w:ascii="Century" w:hAnsi="Century"/>
          <w:rtl/>
        </w:rPr>
        <w:t xml:space="preserve"> (6.5.2015)</w:t>
      </w:r>
      <w:r w:rsidRPr="00B72205">
        <w:rPr>
          <w:rFonts w:ascii="Century" w:hAnsi="Century" w:hint="cs"/>
          <w:rtl/>
        </w:rPr>
        <w:t xml:space="preserve">). למעשה, השאלה אם יש בכלל זכות ערעור על מתן צו לפי סעיף 43 </w:t>
      </w:r>
      <w:proofErr w:type="spellStart"/>
      <w:r>
        <w:rPr>
          <w:rFonts w:ascii="Century" w:hAnsi="Century" w:hint="cs"/>
          <w:rtl/>
        </w:rPr>
        <w:t>לפסד"פ</w:t>
      </w:r>
      <w:proofErr w:type="spellEnd"/>
      <w:r>
        <w:rPr>
          <w:rFonts w:ascii="Century" w:hAnsi="Century" w:hint="cs"/>
          <w:rtl/>
        </w:rPr>
        <w:t xml:space="preserve"> </w:t>
      </w:r>
      <w:r w:rsidRPr="00B72205">
        <w:rPr>
          <w:rFonts w:ascii="Century" w:hAnsi="Century" w:hint="cs"/>
          <w:rtl/>
        </w:rPr>
        <w:t>טרם נדונה מפורשות בפסיקה, הגם שבמקרים אחדים הוכרה זכות זו דה-פקטו (</w:t>
      </w:r>
      <w:proofErr w:type="spellStart"/>
      <w:r w:rsidRPr="00B72205">
        <w:rPr>
          <w:rFonts w:ascii="Century" w:hAnsi="Century"/>
          <w:rtl/>
        </w:rPr>
        <w:t>רע"פ</w:t>
      </w:r>
      <w:proofErr w:type="spellEnd"/>
      <w:r w:rsidRPr="00B72205">
        <w:rPr>
          <w:rFonts w:ascii="Century" w:hAnsi="Century"/>
          <w:rtl/>
        </w:rPr>
        <w:t xml:space="preserve"> 8600/03 </w:t>
      </w:r>
      <w:r w:rsidRPr="005D560B">
        <w:rPr>
          <w:rFonts w:ascii="Century" w:hAnsi="Century" w:cs="Miriam"/>
          <w:b/>
          <w:spacing w:val="0"/>
          <w:szCs w:val="24"/>
          <w:rtl/>
        </w:rPr>
        <w:t>מדינת ישראל נ' שרון</w:t>
      </w:r>
      <w:r w:rsidRPr="00B72205">
        <w:rPr>
          <w:rFonts w:ascii="Century" w:hAnsi="Century"/>
          <w:rtl/>
        </w:rPr>
        <w:t>, פ"ד נח(1) 784 (2003)</w:t>
      </w:r>
      <w:r w:rsidRPr="00B72205">
        <w:rPr>
          <w:rFonts w:ascii="Century" w:hAnsi="Century" w:hint="cs"/>
          <w:rtl/>
        </w:rPr>
        <w:t xml:space="preserve">; </w:t>
      </w:r>
      <w:proofErr w:type="spellStart"/>
      <w:r w:rsidRPr="00B72205">
        <w:rPr>
          <w:rFonts w:ascii="Century" w:hAnsi="Century"/>
          <w:rtl/>
        </w:rPr>
        <w:t>רע"פ</w:t>
      </w:r>
      <w:proofErr w:type="spellEnd"/>
      <w:r w:rsidRPr="00B72205">
        <w:rPr>
          <w:rFonts w:ascii="Century" w:hAnsi="Century"/>
          <w:rtl/>
        </w:rPr>
        <w:t xml:space="preserve"> 9420/16 </w:t>
      </w:r>
      <w:r w:rsidRPr="005D560B">
        <w:rPr>
          <w:rFonts w:ascii="Century" w:hAnsi="Century" w:cs="Miriam"/>
          <w:b/>
          <w:spacing w:val="0"/>
          <w:szCs w:val="24"/>
          <w:rtl/>
        </w:rPr>
        <w:t>שמואל נ' מדינת ישראל - המחלקה לחקירת שוטרים</w:t>
      </w:r>
      <w:r w:rsidRPr="00B72205">
        <w:rPr>
          <w:rFonts w:ascii="Century" w:hAnsi="Century"/>
          <w:rtl/>
        </w:rPr>
        <w:t xml:space="preserve"> (16.1.2017)</w:t>
      </w:r>
      <w:r w:rsidRPr="00B72205">
        <w:rPr>
          <w:rFonts w:ascii="Century" w:hAnsi="Century" w:hint="cs"/>
          <w:rtl/>
        </w:rPr>
        <w:t xml:space="preserve">; </w:t>
      </w:r>
      <w:r w:rsidRPr="00B72205">
        <w:rPr>
          <w:rFonts w:ascii="Century" w:hAnsi="Century"/>
          <w:rtl/>
        </w:rPr>
        <w:t xml:space="preserve">בג"ץ 8183/17 </w:t>
      </w:r>
      <w:r w:rsidRPr="005D560B">
        <w:rPr>
          <w:rFonts w:ascii="Century" w:hAnsi="Century" w:cs="Miriam"/>
          <w:b/>
          <w:spacing w:val="0"/>
          <w:szCs w:val="24"/>
          <w:rtl/>
        </w:rPr>
        <w:t>כהנא נ' מדינת ישראל</w:t>
      </w:r>
      <w:r w:rsidRPr="005D560B">
        <w:rPr>
          <w:rFonts w:ascii="Century" w:hAnsi="Century"/>
          <w:rtl/>
        </w:rPr>
        <w:t xml:space="preserve"> </w:t>
      </w:r>
      <w:r w:rsidRPr="00B72205">
        <w:rPr>
          <w:rFonts w:ascii="Century" w:hAnsi="Century"/>
          <w:rtl/>
        </w:rPr>
        <w:t>(24.10.2017)</w:t>
      </w:r>
      <w:r>
        <w:rPr>
          <w:rFonts w:ascii="Century" w:hAnsi="Century" w:hint="cs"/>
          <w:rtl/>
        </w:rPr>
        <w:t xml:space="preserve">. </w:t>
      </w:r>
      <w:r w:rsidRPr="00B72205">
        <w:rPr>
          <w:rFonts w:ascii="Century" w:hAnsi="Century" w:hint="cs"/>
          <w:rtl/>
        </w:rPr>
        <w:t xml:space="preserve">אך ראו </w:t>
      </w:r>
      <w:proofErr w:type="spellStart"/>
      <w:r w:rsidRPr="00B72205">
        <w:rPr>
          <w:rFonts w:ascii="Century" w:hAnsi="Century"/>
          <w:rtl/>
        </w:rPr>
        <w:t>בש"פ</w:t>
      </w:r>
      <w:proofErr w:type="spellEnd"/>
      <w:r w:rsidRPr="00B72205">
        <w:rPr>
          <w:rFonts w:ascii="Century" w:hAnsi="Century"/>
          <w:rtl/>
        </w:rPr>
        <w:t xml:space="preserve"> 4795/20 </w:t>
      </w:r>
      <w:r w:rsidRPr="005D560B">
        <w:rPr>
          <w:rFonts w:ascii="Century" w:hAnsi="Century" w:cs="Miriam"/>
          <w:b/>
          <w:spacing w:val="0"/>
          <w:szCs w:val="24"/>
          <w:rtl/>
        </w:rPr>
        <w:t>פלונית נ' מדינת ישראל</w:t>
      </w:r>
      <w:r w:rsidRPr="005D560B">
        <w:rPr>
          <w:rFonts w:ascii="Century" w:hAnsi="Century"/>
          <w:rtl/>
        </w:rPr>
        <w:t xml:space="preserve"> </w:t>
      </w:r>
      <w:r w:rsidRPr="00B72205">
        <w:rPr>
          <w:rFonts w:ascii="Century" w:hAnsi="Century"/>
          <w:rtl/>
        </w:rPr>
        <w:t>(8.7.2020)</w:t>
      </w:r>
      <w:r>
        <w:rPr>
          <w:rFonts w:ascii="Century" w:hAnsi="Century" w:hint="cs"/>
          <w:rtl/>
        </w:rPr>
        <w:t>;</w:t>
      </w:r>
      <w:r w:rsidRPr="00B72205">
        <w:rPr>
          <w:rFonts w:ascii="Century" w:hAnsi="Century"/>
          <w:rtl/>
        </w:rPr>
        <w:t xml:space="preserve"> ע</w:t>
      </w:r>
      <w:r>
        <w:rPr>
          <w:rFonts w:ascii="Century" w:hAnsi="Century" w:hint="cs"/>
          <w:rtl/>
        </w:rPr>
        <w:t>"</w:t>
      </w:r>
      <w:r w:rsidRPr="00B72205">
        <w:rPr>
          <w:rFonts w:ascii="Century" w:hAnsi="Century"/>
          <w:rtl/>
        </w:rPr>
        <w:t xml:space="preserve">ח (מחוזי מרכז) 39166-07-20 </w:t>
      </w:r>
      <w:r w:rsidRPr="005D560B">
        <w:rPr>
          <w:rFonts w:ascii="Century" w:hAnsi="Century" w:cs="Miriam"/>
          <w:b/>
          <w:spacing w:val="0"/>
          <w:szCs w:val="24"/>
          <w:rtl/>
        </w:rPr>
        <w:t>שמעון נ' תחנת משטרה-פתח תקווה</w:t>
      </w:r>
      <w:r w:rsidRPr="005D560B">
        <w:rPr>
          <w:rFonts w:ascii="Century" w:hAnsi="Century"/>
          <w:rtl/>
        </w:rPr>
        <w:t xml:space="preserve"> </w:t>
      </w:r>
      <w:r w:rsidRPr="00B72205">
        <w:rPr>
          <w:rFonts w:ascii="Century" w:hAnsi="Century"/>
          <w:rtl/>
        </w:rPr>
        <w:t>(מרחב שרון) (21.7.2020)</w:t>
      </w:r>
      <w:r w:rsidRPr="00B72205">
        <w:rPr>
          <w:rFonts w:ascii="Century" w:hAnsi="Century" w:hint="cs"/>
          <w:rtl/>
        </w:rPr>
        <w:t>)</w:t>
      </w:r>
      <w:r w:rsidRPr="00B72205">
        <w:rPr>
          <w:rFonts w:ascii="Century" w:hAnsi="Century"/>
          <w:rtl/>
        </w:rPr>
        <w:t>.</w:t>
      </w:r>
      <w:r>
        <w:rPr>
          <w:rFonts w:ascii="Century" w:hAnsi="Century" w:hint="cs"/>
          <w:rtl/>
        </w:rPr>
        <w:t xml:space="preserve"> הסוגיה של זכות הערר </w:t>
      </w:r>
      <w:r w:rsidRPr="00B72205">
        <w:rPr>
          <w:rFonts w:ascii="Century" w:hAnsi="Century" w:hint="cs"/>
          <w:rtl/>
        </w:rPr>
        <w:t>לא התעוררה בפנינו</w:t>
      </w:r>
      <w:r>
        <w:rPr>
          <w:rFonts w:ascii="Century" w:hAnsi="Century" w:hint="cs"/>
          <w:rtl/>
        </w:rPr>
        <w:t xml:space="preserve"> ו</w:t>
      </w:r>
      <w:r w:rsidRPr="00B72205">
        <w:rPr>
          <w:rFonts w:ascii="Century" w:hAnsi="Century" w:hint="cs"/>
          <w:rtl/>
        </w:rPr>
        <w:t xml:space="preserve">כל הצדדים יצאו מנקודת הנחה כי </w:t>
      </w:r>
      <w:r>
        <w:rPr>
          <w:rFonts w:ascii="Century" w:hAnsi="Century" w:hint="cs"/>
          <w:rtl/>
        </w:rPr>
        <w:t>מובן מאליו ש</w:t>
      </w:r>
      <w:r w:rsidRPr="00B72205">
        <w:rPr>
          <w:rFonts w:ascii="Century" w:hAnsi="Century" w:hint="cs"/>
          <w:rtl/>
        </w:rPr>
        <w:t>קיימת זכות ערר על החלטת בית משפט השלום</w:t>
      </w:r>
      <w:r>
        <w:rPr>
          <w:rFonts w:ascii="Century" w:hAnsi="Century" w:hint="cs"/>
          <w:rtl/>
        </w:rPr>
        <w:t xml:space="preserve">. </w:t>
      </w:r>
      <w:r w:rsidRPr="00B72205">
        <w:rPr>
          <w:rFonts w:ascii="Century" w:hAnsi="Century" w:hint="cs"/>
          <w:rtl/>
        </w:rPr>
        <w:t xml:space="preserve">לטעמי, כך ראוי וכך רצוי, מקום בו צד שלישי מתבקש למסור חומר הנוגע לחשוד </w:t>
      </w:r>
      <w:r>
        <w:rPr>
          <w:rFonts w:ascii="Century" w:hAnsi="Century" w:hint="cs"/>
          <w:rtl/>
        </w:rPr>
        <w:t xml:space="preserve">והוא מבקש להשיג על הצו </w:t>
      </w:r>
      <w:r w:rsidRPr="00B72205">
        <w:rPr>
          <w:rFonts w:ascii="Century" w:hAnsi="Century" w:hint="cs"/>
          <w:rtl/>
        </w:rPr>
        <w:t>(וראו גם סעיף 10 ב</w:t>
      </w:r>
      <w:r w:rsidRPr="00B72205">
        <w:rPr>
          <w:rFonts w:ascii="Century" w:hAnsi="Century"/>
          <w:rtl/>
        </w:rPr>
        <w:t xml:space="preserve">הצעת </w:t>
      </w:r>
      <w:r w:rsidRPr="00B72205">
        <w:rPr>
          <w:rFonts w:ascii="Century" w:hAnsi="Century" w:hint="cs"/>
          <w:rtl/>
        </w:rPr>
        <w:t xml:space="preserve">חוק סדר הדין הפלילי </w:t>
      </w:r>
      <w:r w:rsidRPr="00B72205">
        <w:rPr>
          <w:rFonts w:ascii="Century" w:hAnsi="Century"/>
          <w:rtl/>
        </w:rPr>
        <w:t>(סמכויות אכיפה - המצאה, חיפוש ותפיסה), התשע"ד-2014</w:t>
      </w:r>
      <w:r w:rsidRPr="00B72205">
        <w:rPr>
          <w:rFonts w:ascii="Century" w:hAnsi="Century" w:hint="cs"/>
          <w:rtl/>
        </w:rPr>
        <w:t xml:space="preserve">; יצחק עמית </w:t>
      </w:r>
      <w:r w:rsidRPr="005D560B">
        <w:rPr>
          <w:rFonts w:ascii="Century" w:hAnsi="Century" w:cs="Miriam" w:hint="cs"/>
          <w:b/>
          <w:spacing w:val="0"/>
          <w:szCs w:val="24"/>
          <w:rtl/>
        </w:rPr>
        <w:t xml:space="preserve">חסיונות </w:t>
      </w:r>
      <w:r w:rsidRPr="005D560B">
        <w:rPr>
          <w:rFonts w:ascii="Century" w:hAnsi="Century" w:cs="Miriam" w:hint="cs"/>
          <w:b/>
          <w:spacing w:val="0"/>
          <w:szCs w:val="24"/>
          <w:rtl/>
        </w:rPr>
        <w:lastRenderedPageBreak/>
        <w:t xml:space="preserve">ואינטרסים מוגנים </w:t>
      </w:r>
      <w:r w:rsidRPr="005D560B">
        <w:rPr>
          <w:rFonts w:ascii="Century" w:hAnsi="Century" w:cs="Miriam"/>
          <w:b/>
          <w:spacing w:val="0"/>
          <w:szCs w:val="24"/>
          <w:rtl/>
        </w:rPr>
        <w:t>–</w:t>
      </w:r>
      <w:r w:rsidRPr="005D560B">
        <w:rPr>
          <w:rFonts w:ascii="Century" w:hAnsi="Century" w:cs="Miriam" w:hint="cs"/>
          <w:b/>
          <w:spacing w:val="0"/>
          <w:szCs w:val="24"/>
          <w:rtl/>
        </w:rPr>
        <w:t xml:space="preserve"> הליכי גילוי במשפט האזרחי והפלילי</w:t>
      </w:r>
      <w:r w:rsidRPr="00B72205">
        <w:rPr>
          <w:rFonts w:ascii="Century" w:hAnsi="Century" w:hint="cs"/>
          <w:rtl/>
        </w:rPr>
        <w:t xml:space="preserve"> 286-283 (עתיד להתפרסם, 2021)</w:t>
      </w:r>
      <w:r w:rsidR="00FA6A58">
        <w:rPr>
          <w:rFonts w:ascii="Century" w:hAnsi="Century" w:hint="cs"/>
          <w:rtl/>
        </w:rPr>
        <w:t>)</w:t>
      </w:r>
      <w:bookmarkStart w:id="5" w:name="_GoBack"/>
      <w:bookmarkEnd w:id="5"/>
      <w:r w:rsidRPr="00B72205">
        <w:rPr>
          <w:rFonts w:ascii="Century" w:hAnsi="Century" w:hint="cs"/>
          <w:rtl/>
        </w:rPr>
        <w:t xml:space="preserve">. </w:t>
      </w:r>
    </w:p>
    <w:p w14:paraId="28F37B18" w14:textId="77777777" w:rsidR="00EF0EA6" w:rsidRDefault="00EF0EA6" w:rsidP="00EF0EA6">
      <w:pPr>
        <w:pStyle w:val="Ruller41"/>
        <w:rPr>
          <w:rFonts w:ascii="Century" w:hAnsi="Century"/>
          <w:rtl/>
        </w:rPr>
      </w:pPr>
    </w:p>
    <w:p w14:paraId="1FC6090F" w14:textId="0AF5D50B" w:rsidR="00EF0EA6" w:rsidRDefault="00EF0EA6" w:rsidP="00EF0EA6">
      <w:pPr>
        <w:pStyle w:val="Ruller41"/>
        <w:rPr>
          <w:rFonts w:ascii="Century" w:hAnsi="Century"/>
          <w:rtl/>
        </w:rPr>
      </w:pPr>
      <w:r>
        <w:rPr>
          <w:rFonts w:ascii="Century" w:hAnsi="Century" w:hint="cs"/>
          <w:rtl/>
        </w:rPr>
        <w:t>4.</w:t>
      </w:r>
      <w:r>
        <w:rPr>
          <w:rFonts w:ascii="Century" w:hAnsi="Century" w:hint="cs"/>
          <w:rtl/>
        </w:rPr>
        <w:tab/>
        <w:t xml:space="preserve">בשורה התחתונה אני מצטרף לפסק דינה המקיף של חברתי </w:t>
      </w:r>
      <w:r w:rsidRPr="00B72205">
        <w:rPr>
          <w:rFonts w:ascii="Century" w:hAnsi="Century" w:hint="cs"/>
          <w:rtl/>
        </w:rPr>
        <w:t xml:space="preserve">השופטת </w:t>
      </w:r>
      <w:r w:rsidRPr="00B72205">
        <w:rPr>
          <w:rFonts w:ascii="Century" w:hAnsi="Century" w:cs="Miriam" w:hint="cs"/>
          <w:b/>
          <w:spacing w:val="0"/>
          <w:szCs w:val="24"/>
          <w:rtl/>
        </w:rPr>
        <w:t>ד' ברק-ארז</w:t>
      </w:r>
      <w:r>
        <w:rPr>
          <w:rFonts w:ascii="Century" w:hAnsi="Century" w:hint="cs"/>
          <w:rtl/>
        </w:rPr>
        <w:t xml:space="preserve"> ולדרך הפעולה שהתוותה. הנושא הוא רגיש, ומקום בו רשויות החקירה מבקשות חומר טיפולי בעקבות דיווח, עליהן להסב את תשומת לב בית המשפט לכך ולהסב את תשומת לב הפסיכולוג/העובד הסוציאלי כי הוא רשאי לפנות לבית המשפט, והכל כפי שהמליצה חברתי בפסקה 69 לפסק דינה. </w:t>
      </w:r>
    </w:p>
    <w:p w14:paraId="3A771E73" w14:textId="7B11F823" w:rsidR="00E257F1" w:rsidRDefault="00E257F1" w:rsidP="00EF0EA6">
      <w:pPr>
        <w:pStyle w:val="Ruller41"/>
        <w:rPr>
          <w:rFonts w:ascii="Century" w:hAnsi="Century"/>
          <w:rtl/>
        </w:rPr>
      </w:pPr>
    </w:p>
    <w:p w14:paraId="7B694455" w14:textId="77777777" w:rsidR="00E257F1" w:rsidRDefault="00E257F1" w:rsidP="00EF0EA6">
      <w:pPr>
        <w:pStyle w:val="Ruller41"/>
        <w:rPr>
          <w:rFonts w:ascii="Century" w:hAnsi="Century"/>
          <w:rtl/>
        </w:rPr>
      </w:pPr>
    </w:p>
    <w:p w14:paraId="0D5D6122" w14:textId="19AE50D9" w:rsidR="00655963" w:rsidRPr="004649AB" w:rsidRDefault="00655963" w:rsidP="00EF0EA6">
      <w:pPr>
        <w:pStyle w:val="Ruller41"/>
        <w:rPr>
          <w:rFonts w:ascii="Century" w:hAnsi="Century"/>
          <w:sz w:val="8"/>
          <w:szCs w:val="10"/>
          <w:rtl/>
        </w:rPr>
      </w:pPr>
    </w:p>
    <w:p w14:paraId="4F605066" w14:textId="1E0AE36F" w:rsidR="00655963" w:rsidRDefault="00655963" w:rsidP="00655963">
      <w:pPr>
        <w:pStyle w:val="Ruller41"/>
        <w:rPr>
          <w:rFonts w:ascii="Century" w:hAnsi="Century" w:cs="Miriam"/>
          <w:b/>
          <w:spacing w:val="0"/>
          <w:szCs w:val="24"/>
          <w:rtl/>
        </w:rPr>
      </w:pPr>
      <w:r>
        <w:rPr>
          <w:rFonts w:ascii="Century" w:hAnsi="Century"/>
          <w:rtl/>
        </w:rPr>
        <w:tab/>
      </w:r>
      <w:r>
        <w:rPr>
          <w:rFonts w:ascii="Century" w:hAnsi="Century"/>
          <w:rtl/>
        </w:rPr>
        <w:tab/>
      </w:r>
      <w:r>
        <w:rPr>
          <w:rFonts w:ascii="Century" w:hAnsi="Century"/>
          <w:rtl/>
        </w:rPr>
        <w:tab/>
      </w:r>
      <w:r>
        <w:rPr>
          <w:rFonts w:ascii="Century" w:hAnsi="Century"/>
          <w:rtl/>
        </w:rPr>
        <w:tab/>
      </w:r>
      <w:r>
        <w:rPr>
          <w:rFonts w:ascii="Century" w:hAnsi="Century"/>
          <w:rtl/>
        </w:rPr>
        <w:tab/>
      </w:r>
      <w:r>
        <w:rPr>
          <w:rFonts w:ascii="Century" w:hAnsi="Century"/>
          <w:rtl/>
        </w:rPr>
        <w:tab/>
      </w:r>
      <w:r>
        <w:rPr>
          <w:rFonts w:ascii="Century" w:hAnsi="Century"/>
          <w:rtl/>
        </w:rPr>
        <w:tab/>
      </w:r>
      <w:r>
        <w:rPr>
          <w:rFonts w:ascii="Century" w:hAnsi="Century"/>
          <w:rtl/>
        </w:rPr>
        <w:tab/>
      </w:r>
      <w:r>
        <w:rPr>
          <w:rFonts w:ascii="Century" w:hAnsi="Century"/>
          <w:rtl/>
        </w:rPr>
        <w:tab/>
      </w:r>
      <w:r>
        <w:rPr>
          <w:rFonts w:ascii="Century" w:hAnsi="Century" w:hint="cs"/>
          <w:rtl/>
        </w:rPr>
        <w:t xml:space="preserve">          </w:t>
      </w:r>
      <w:r>
        <w:rPr>
          <w:rFonts w:ascii="Century" w:hAnsi="Century"/>
          <w:rtl/>
        </w:rPr>
        <w:tab/>
      </w:r>
      <w:r w:rsidRPr="00655963">
        <w:rPr>
          <w:rFonts w:ascii="Century" w:hAnsi="Century" w:cs="Miriam" w:hint="cs"/>
          <w:b/>
          <w:spacing w:val="0"/>
          <w:szCs w:val="24"/>
          <w:rtl/>
        </w:rPr>
        <w:t>ש ו פ ט</w:t>
      </w:r>
    </w:p>
    <w:p w14:paraId="3C2E5006" w14:textId="1C9D1ABC" w:rsidR="00655963" w:rsidRDefault="00655963" w:rsidP="00655963">
      <w:pPr>
        <w:pStyle w:val="Ruller41"/>
        <w:rPr>
          <w:rFonts w:ascii="Century" w:hAnsi="Century" w:cs="Miriam"/>
          <w:b/>
          <w:spacing w:val="0"/>
          <w:szCs w:val="24"/>
          <w:rtl/>
        </w:rPr>
      </w:pPr>
      <w:r>
        <w:rPr>
          <w:rFonts w:ascii="Century" w:hAnsi="Century" w:cs="Miriam"/>
          <w:b/>
          <w:spacing w:val="0"/>
          <w:szCs w:val="24"/>
          <w:rtl/>
        </w:rPr>
        <w:tab/>
      </w:r>
      <w:r w:rsidRPr="00655963">
        <w:rPr>
          <w:rFonts w:hint="cs"/>
          <w:rtl/>
        </w:rPr>
        <w:t>הוחלט כאמור בפסק דינה של השופטת</w:t>
      </w:r>
      <w:r>
        <w:rPr>
          <w:rFonts w:ascii="Century" w:hAnsi="Century" w:cs="Miriam" w:hint="cs"/>
          <w:b/>
          <w:spacing w:val="0"/>
          <w:szCs w:val="24"/>
          <w:rtl/>
        </w:rPr>
        <w:t xml:space="preserve"> ד' ברק-ארז.</w:t>
      </w:r>
    </w:p>
    <w:p w14:paraId="52175179" w14:textId="6F04B1C5" w:rsidR="00655963" w:rsidRDefault="00655963" w:rsidP="00655963">
      <w:pPr>
        <w:pStyle w:val="Ruller41"/>
        <w:rPr>
          <w:rFonts w:ascii="Century" w:hAnsi="Century" w:cs="Miriam"/>
          <w:b/>
          <w:spacing w:val="0"/>
          <w:szCs w:val="24"/>
          <w:rtl/>
        </w:rPr>
      </w:pPr>
    </w:p>
    <w:p w14:paraId="2224D58B" w14:textId="1FB69E6D" w:rsidR="00655963" w:rsidRDefault="00655963" w:rsidP="00655963">
      <w:pPr>
        <w:pStyle w:val="Ruller41"/>
        <w:rPr>
          <w:rtl/>
        </w:rPr>
      </w:pPr>
      <w:r>
        <w:rPr>
          <w:rtl/>
        </w:rPr>
        <w:tab/>
      </w:r>
      <w:r>
        <w:rPr>
          <w:rFonts w:hint="eastAsia"/>
          <w:rtl/>
        </w:rPr>
        <w:t>ניתן</w:t>
      </w:r>
      <w:r>
        <w:rPr>
          <w:rtl/>
        </w:rPr>
        <w:t xml:space="preserve"> </w:t>
      </w:r>
      <w:r>
        <w:rPr>
          <w:rFonts w:hint="eastAsia"/>
          <w:rtl/>
        </w:rPr>
        <w:t>היום</w:t>
      </w:r>
      <w:r>
        <w:rPr>
          <w:rtl/>
        </w:rPr>
        <w:t xml:space="preserve">, </w:t>
      </w:r>
      <w:r>
        <w:rPr>
          <w:rFonts w:hint="eastAsia"/>
          <w:rtl/>
        </w:rPr>
        <w:t>‏א</w:t>
      </w:r>
      <w:r>
        <w:rPr>
          <w:rtl/>
        </w:rPr>
        <w:t xml:space="preserve">' </w:t>
      </w:r>
      <w:r>
        <w:rPr>
          <w:rFonts w:hint="eastAsia"/>
          <w:rtl/>
        </w:rPr>
        <w:t>בניסן</w:t>
      </w:r>
      <w:r>
        <w:rPr>
          <w:rtl/>
        </w:rPr>
        <w:t xml:space="preserve"> </w:t>
      </w:r>
      <w:proofErr w:type="spellStart"/>
      <w:r>
        <w:rPr>
          <w:rFonts w:hint="eastAsia"/>
          <w:rtl/>
        </w:rPr>
        <w:t>התשפ</w:t>
      </w:r>
      <w:r>
        <w:rPr>
          <w:rtl/>
        </w:rPr>
        <w:t>"</w:t>
      </w:r>
      <w:r>
        <w:rPr>
          <w:rFonts w:hint="eastAsia"/>
          <w:rtl/>
        </w:rPr>
        <w:t>א</w:t>
      </w:r>
      <w:proofErr w:type="spellEnd"/>
      <w:r>
        <w:rPr>
          <w:rtl/>
        </w:rPr>
        <w:t xml:space="preserve"> (</w:t>
      </w:r>
      <w:r>
        <w:rPr>
          <w:rFonts w:hint="eastAsia"/>
          <w:rtl/>
        </w:rPr>
        <w:t>‏</w:t>
      </w:r>
      <w:r>
        <w:rPr>
          <w:rtl/>
        </w:rPr>
        <w:t>14.</w:t>
      </w:r>
      <w:r>
        <w:rPr>
          <w:rFonts w:hint="cs"/>
          <w:rtl/>
        </w:rPr>
        <w:t>3</w:t>
      </w:r>
      <w:r>
        <w:rPr>
          <w:rtl/>
        </w:rPr>
        <w:t>.2021).</w:t>
      </w:r>
    </w:p>
    <w:p w14:paraId="2B10DEB1" w14:textId="3913449E" w:rsidR="00CB5BE7" w:rsidRDefault="00CB5BE7" w:rsidP="00A51FAE">
      <w:pPr>
        <w:pStyle w:val="Ruller41"/>
        <w:rPr>
          <w:rtl/>
        </w:rPr>
      </w:pPr>
    </w:p>
    <w:p w14:paraId="333C4295" w14:textId="77777777" w:rsidR="00E257F1" w:rsidRDefault="00E257F1" w:rsidP="00A51FAE">
      <w:pPr>
        <w:pStyle w:val="Ruller41"/>
        <w:rPr>
          <w:rtl/>
        </w:rPr>
      </w:pPr>
    </w:p>
    <w:tbl>
      <w:tblPr>
        <w:bidiVisual/>
        <w:tblW w:w="8363" w:type="dxa"/>
        <w:tblLook w:val="01E0" w:firstRow="1" w:lastRow="1" w:firstColumn="1" w:lastColumn="1" w:noHBand="0" w:noVBand="0"/>
      </w:tblPr>
      <w:tblGrid>
        <w:gridCol w:w="2787"/>
        <w:gridCol w:w="2788"/>
        <w:gridCol w:w="2788"/>
      </w:tblGrid>
      <w:tr w:rsidR="001A0164" w:rsidRPr="00655963" w14:paraId="61F7D4FE" w14:textId="77777777" w:rsidTr="00D00B1D">
        <w:tc>
          <w:tcPr>
            <w:tcW w:w="2842" w:type="dxa"/>
            <w:shd w:val="clear" w:color="auto" w:fill="auto"/>
          </w:tcPr>
          <w:p w14:paraId="413BF85A" w14:textId="77777777" w:rsidR="00016EF1" w:rsidRPr="00655963" w:rsidRDefault="006D65CD" w:rsidP="00A51FAE">
            <w:pPr>
              <w:pStyle w:val="Ruller41"/>
              <w:rPr>
                <w:rFonts w:ascii="Century" w:hAnsi="Century" w:cs="Miriam"/>
                <w:b/>
                <w:spacing w:val="0"/>
                <w:szCs w:val="24"/>
                <w:rtl/>
              </w:rPr>
            </w:pPr>
            <w:r w:rsidRPr="00655963">
              <w:rPr>
                <w:rFonts w:ascii="Century" w:hAnsi="Century" w:cs="Miriam"/>
                <w:b/>
                <w:spacing w:val="0"/>
                <w:szCs w:val="24"/>
                <w:rtl/>
              </w:rPr>
              <w:t>ש ו פ ט</w:t>
            </w:r>
          </w:p>
        </w:tc>
        <w:tc>
          <w:tcPr>
            <w:tcW w:w="2843" w:type="dxa"/>
            <w:shd w:val="clear" w:color="auto" w:fill="auto"/>
          </w:tcPr>
          <w:p w14:paraId="34B37C8C" w14:textId="77777777" w:rsidR="001A0164" w:rsidRPr="00655963" w:rsidRDefault="006D65CD" w:rsidP="00BA0B08">
            <w:pPr>
              <w:pStyle w:val="Ruller41"/>
              <w:jc w:val="center"/>
              <w:rPr>
                <w:rFonts w:ascii="Century" w:hAnsi="Century" w:cs="Miriam"/>
                <w:b/>
                <w:spacing w:val="0"/>
                <w:szCs w:val="24"/>
                <w:rtl/>
              </w:rPr>
            </w:pPr>
            <w:r w:rsidRPr="00655963">
              <w:rPr>
                <w:rFonts w:ascii="Century" w:hAnsi="Century" w:cs="Miriam"/>
                <w:b/>
                <w:spacing w:val="0"/>
                <w:szCs w:val="24"/>
                <w:rtl/>
              </w:rPr>
              <w:t>ש ו פ ט ת</w:t>
            </w:r>
          </w:p>
        </w:tc>
        <w:tc>
          <w:tcPr>
            <w:tcW w:w="2843" w:type="dxa"/>
            <w:shd w:val="clear" w:color="auto" w:fill="auto"/>
          </w:tcPr>
          <w:p w14:paraId="64BDD741" w14:textId="363457A4" w:rsidR="001A0164" w:rsidRPr="00655963" w:rsidRDefault="00655963" w:rsidP="00655963">
            <w:pPr>
              <w:pStyle w:val="Ruller41"/>
              <w:jc w:val="center"/>
              <w:rPr>
                <w:rFonts w:ascii="Century" w:hAnsi="Century" w:cs="Miriam"/>
                <w:b/>
                <w:spacing w:val="0"/>
                <w:szCs w:val="24"/>
                <w:rtl/>
              </w:rPr>
            </w:pPr>
            <w:r w:rsidRPr="00655963">
              <w:rPr>
                <w:rFonts w:ascii="Century" w:hAnsi="Century" w:cs="Miriam" w:hint="cs"/>
                <w:b/>
                <w:spacing w:val="0"/>
                <w:szCs w:val="24"/>
                <w:rtl/>
              </w:rPr>
              <w:t xml:space="preserve">                  </w:t>
            </w:r>
            <w:r w:rsidR="006D65CD" w:rsidRPr="00655963">
              <w:rPr>
                <w:rFonts w:ascii="Century" w:hAnsi="Century" w:cs="Miriam"/>
                <w:b/>
                <w:spacing w:val="0"/>
                <w:szCs w:val="24"/>
                <w:rtl/>
              </w:rPr>
              <w:t>ש ו פ ט ת</w:t>
            </w:r>
          </w:p>
        </w:tc>
      </w:tr>
    </w:tbl>
    <w:p w14:paraId="7BB30231" w14:textId="77777777" w:rsidR="00044953" w:rsidRDefault="00044953" w:rsidP="00A51FAE">
      <w:pPr>
        <w:pStyle w:val="Ruller41"/>
        <w:rPr>
          <w:rtl/>
        </w:rPr>
      </w:pPr>
    </w:p>
    <w:p w14:paraId="1D67FD8D" w14:textId="77777777" w:rsidR="00916FF8" w:rsidRDefault="00916FF8">
      <w:pPr>
        <w:rPr>
          <w:szCs w:val="16"/>
          <w:rtl/>
        </w:rPr>
      </w:pPr>
      <w:r>
        <w:rPr>
          <w:szCs w:val="16"/>
          <w:rtl/>
        </w:rPr>
        <w:t>_________________</w:t>
      </w:r>
      <w:r w:rsidR="00A12E0F">
        <w:rPr>
          <w:rFonts w:hint="cs"/>
          <w:szCs w:val="16"/>
          <w:rtl/>
        </w:rPr>
        <w:t>________</w:t>
      </w:r>
    </w:p>
    <w:p w14:paraId="3976C57E" w14:textId="0AEAC12C" w:rsidR="00916FF8" w:rsidRDefault="00591983" w:rsidP="00655963">
      <w:pPr>
        <w:pStyle w:val="Ruller38"/>
        <w:rPr>
          <w:rtl/>
        </w:rPr>
      </w:pPr>
      <w:r>
        <w:rPr>
          <w:sz w:val="16"/>
        </w:rPr>
        <w:t xml:space="preserve"> </w:t>
      </w:r>
      <w:r w:rsidR="00A12E0F">
        <w:rPr>
          <w:sz w:val="16"/>
        </w:rPr>
        <w:t xml:space="preserve">  </w:t>
      </w:r>
      <w:r w:rsidR="00655963">
        <w:rPr>
          <w:sz w:val="16"/>
        </w:rPr>
        <w:t>21004670_</w:t>
      </w:r>
      <w:proofErr w:type="gramStart"/>
      <w:r w:rsidR="00655963">
        <w:rPr>
          <w:sz w:val="16"/>
        </w:rPr>
        <w:t xml:space="preserve">A09.docx  </w:t>
      </w:r>
      <w:r w:rsidR="00655963">
        <w:rPr>
          <w:rFonts w:hint="cs"/>
          <w:sz w:val="16"/>
          <w:rtl/>
        </w:rPr>
        <w:t>/</w:t>
      </w:r>
      <w:proofErr w:type="spellStart"/>
      <w:proofErr w:type="gramEnd"/>
      <w:r w:rsidR="00655963">
        <w:rPr>
          <w:rFonts w:hint="cs"/>
          <w:sz w:val="16"/>
          <w:rtl/>
        </w:rPr>
        <w:t>עכ</w:t>
      </w:r>
      <w:proofErr w:type="spellEnd"/>
      <w:r w:rsidR="00655963">
        <w:rPr>
          <w:rFonts w:hint="cs"/>
          <w:sz w:val="16"/>
          <w:rtl/>
        </w:rPr>
        <w:t>.</w:t>
      </w:r>
    </w:p>
    <w:p w14:paraId="1C834040" w14:textId="77777777" w:rsidR="00591983" w:rsidRPr="0058440A" w:rsidRDefault="00591983" w:rsidP="0058440A">
      <w:pPr>
        <w:pStyle w:val="Ruller38"/>
        <w:rPr>
          <w:rtl/>
        </w:rPr>
      </w:pPr>
      <w:r>
        <w:rPr>
          <w:rtl/>
        </w:rPr>
        <w:t>מרכז מידע, טל'</w:t>
      </w:r>
      <w:r>
        <w:rPr>
          <w:rFonts w:hint="cs"/>
          <w:rtl/>
        </w:rPr>
        <w:t xml:space="preserve"> </w:t>
      </w:r>
      <w:r w:rsidR="00B63343">
        <w:rPr>
          <w:rFonts w:hint="cs"/>
          <w:rtl/>
        </w:rPr>
        <w:t>077</w:t>
      </w:r>
      <w:r>
        <w:rPr>
          <w:rFonts w:hint="cs"/>
          <w:rtl/>
        </w:rPr>
        <w:t>-</w:t>
      </w:r>
      <w:r w:rsidR="00B63343">
        <w:rPr>
          <w:rFonts w:hint="cs"/>
          <w:rtl/>
        </w:rPr>
        <w:t>270</w:t>
      </w:r>
      <w:r w:rsidR="00E21CA9">
        <w:rPr>
          <w:rFonts w:hint="cs"/>
          <w:rtl/>
        </w:rPr>
        <w:t>3</w:t>
      </w:r>
      <w:r w:rsidR="009B38DA">
        <w:rPr>
          <w:rFonts w:hint="cs"/>
          <w:rtl/>
        </w:rPr>
        <w:t>333</w:t>
      </w:r>
      <w:r w:rsidR="000C0A71">
        <w:rPr>
          <w:rFonts w:hint="cs"/>
          <w:rtl/>
        </w:rPr>
        <w:t>, 3852*</w:t>
      </w:r>
      <w:r>
        <w:rPr>
          <w:rFonts w:hint="cs"/>
          <w:rtl/>
        </w:rPr>
        <w:t xml:space="preserve"> ; אתר אינטרנט,  </w:t>
      </w:r>
      <w:hyperlink r:id="rId8" w:history="1">
        <w:r w:rsidR="0058440A" w:rsidRPr="00CB1590">
          <w:rPr>
            <w:rStyle w:val="Hyperlink"/>
            <w:sz w:val="16"/>
          </w:rPr>
          <w:t>http://supreme.court.gov.i</w:t>
        </w:r>
      </w:hyperlink>
      <w:r w:rsidR="0058440A" w:rsidRPr="00CB1590">
        <w:rPr>
          <w:sz w:val="16"/>
        </w:rPr>
        <w:t>l</w:t>
      </w:r>
    </w:p>
    <w:p w14:paraId="7244AA0B" w14:textId="77777777" w:rsidR="003F1F97" w:rsidRDefault="003F1F97" w:rsidP="00591983">
      <w:pPr>
        <w:pStyle w:val="Ruller38"/>
        <w:rPr>
          <w:rtl/>
        </w:rPr>
      </w:pPr>
    </w:p>
    <w:sectPr w:rsidR="003F1F97" w:rsidSect="00591983">
      <w:headerReference w:type="even" r:id="rId9"/>
      <w:headerReference w:type="default" r:id="rId10"/>
      <w:footerReference w:type="even" r:id="rId11"/>
      <w:headerReference w:type="first" r:id="rId12"/>
      <w:footerReference w:type="first" r:id="rId13"/>
      <w:endnotePr>
        <w:numFmt w:val="lowerLetter"/>
      </w:endnotePr>
      <w:pgSz w:w="11906" w:h="16838" w:code="9"/>
      <w:pgMar w:top="1134" w:right="1797" w:bottom="1440" w:left="1797" w:header="567" w:footer="397" w:gutter="0"/>
      <w:cols w:space="720"/>
      <w:titlePg/>
      <w:bidi/>
      <w:rtlGutter/>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 wne:kcmPrimary="0434">
      <wne:acd wne:acdName="acd1"/>
    </wne:keymap>
    <wne:keymap wne:kcmPrimary="0435">
      <wne:acd wne:acdName="acd2"/>
    </wne:keymap>
  </wne:keymaps>
  <wne:toolbars>
    <wne:acdManifest>
      <wne:acdEntry wne:acdName="acd0"/>
      <wne:acdEntry wne:acdName="acd1"/>
      <wne:acdEntry wne:acdName="acd2"/>
    </wne:acdManifest>
    <wne:toolbarData r:id="rId1"/>
  </wne:toolbars>
  <wne:acds>
    <wne:acd wne:argValue="AgBSAHUAbABsAGUAcgAgADMA" wne:acdName="acd0" wne:fciIndexBasedOn="0065"/>
    <wne:acd wne:argValue="AgBSAHUAbABsAGUAcgA0AA==" wne:acdName="acd1" wne:fciIndexBasedOn="0065"/>
    <wne:acd wne:argValue="AgBSAHUAbABsAGUAcgA1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EDE02" w14:textId="77777777" w:rsidR="007F7512" w:rsidRDefault="007F7512">
      <w:r>
        <w:separator/>
      </w:r>
    </w:p>
  </w:endnote>
  <w:endnote w:type="continuationSeparator" w:id="0">
    <w:p w14:paraId="7B966FA6" w14:textId="77777777" w:rsidR="007F7512" w:rsidRDefault="007F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TUR">
    <w:charset w:val="00"/>
    <w:family w:val="swiss"/>
    <w:pitch w:val="variable"/>
    <w:sig w:usb0="E0002EFF" w:usb1="C000785B" w:usb2="00000009" w:usb3="00000000" w:csb0="000001FF" w:csb1="00000000"/>
  </w:font>
  <w:font w:name="DavidFix">
    <w:charset w:val="B1"/>
    <w:family w:val="auto"/>
    <w:pitch w:val="variable"/>
    <w:sig w:usb0="00001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F194" w14:textId="77777777" w:rsidR="00377102" w:rsidRDefault="00377102">
    <w:pPr>
      <w:pStyle w:val="a3"/>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14:paraId="51C4744F" w14:textId="77777777" w:rsidR="00377102" w:rsidRDefault="00377102">
    <w:pPr>
      <w:pStyle w:val="a3"/>
      <w:rPr>
        <w:rtl/>
      </w:rPr>
    </w:pPr>
  </w:p>
  <w:p w14:paraId="78AEE7B7" w14:textId="77777777" w:rsidR="00377102" w:rsidRDefault="003771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B04B" w14:textId="77777777" w:rsidR="00045B4D" w:rsidRPr="00F959DB" w:rsidRDefault="00045B4D" w:rsidP="00914156">
    <w:pPr>
      <w:pStyle w:val="a3"/>
      <w:bidi w:val="0"/>
      <w:jc w:val="right"/>
      <w:rPr>
        <w:sz w:val="16"/>
        <w:szCs w:val="16"/>
      </w:rPr>
    </w:pPr>
    <w:bookmarkStart w:id="6" w:name="footer_line"/>
    <w:bookmarkEnd w:id="6"/>
  </w:p>
  <w:p w14:paraId="49FD14F2" w14:textId="77777777" w:rsidR="00045B4D" w:rsidRDefault="00045B4D">
    <w:pPr>
      <w:pStyle w:val="a3"/>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5F283" w14:textId="77777777" w:rsidR="007F7512" w:rsidRDefault="007F7512">
      <w:r>
        <w:separator/>
      </w:r>
    </w:p>
  </w:footnote>
  <w:footnote w:type="continuationSeparator" w:id="0">
    <w:p w14:paraId="75D50705" w14:textId="77777777" w:rsidR="007F7512" w:rsidRDefault="007F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091A9" w14:textId="77777777"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14:paraId="7100FEB9" w14:textId="77777777" w:rsidR="00377102" w:rsidRDefault="00377102">
    <w:pPr>
      <w:pStyle w:val="a5"/>
      <w:rPr>
        <w:rtl/>
      </w:rPr>
    </w:pPr>
  </w:p>
  <w:p w14:paraId="4E38E2A3" w14:textId="77777777" w:rsidR="00377102" w:rsidRDefault="003771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0A52D" w14:textId="3D31894B"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FA6A58">
      <w:rPr>
        <w:rStyle w:val="a4"/>
        <w:noProof/>
        <w:rtl/>
      </w:rPr>
      <w:t>23</w:t>
    </w:r>
    <w:r>
      <w:rPr>
        <w:rStyle w:val="a4"/>
        <w:rtl/>
      </w:rPr>
      <w:fldChar w:fldCharType="end"/>
    </w:r>
  </w:p>
  <w:p w14:paraId="502D5CD4" w14:textId="77777777" w:rsidR="00377102" w:rsidRDefault="00377102">
    <w:pPr>
      <w:pStyle w:val="a5"/>
      <w:rPr>
        <w:rtl/>
      </w:rPr>
    </w:pPr>
  </w:p>
  <w:p w14:paraId="774F14AB" w14:textId="77777777" w:rsidR="00377102" w:rsidRDefault="003771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ook w:val="01E0" w:firstRow="1" w:lastRow="1" w:firstColumn="1" w:lastColumn="1" w:noHBand="0" w:noVBand="0"/>
    </w:tblPr>
    <w:tblGrid>
      <w:gridCol w:w="8312"/>
    </w:tblGrid>
    <w:tr w:rsidR="00FA21B3" w14:paraId="67F39937" w14:textId="77777777" w:rsidTr="00AC2323">
      <w:tc>
        <w:tcPr>
          <w:tcW w:w="8528" w:type="dxa"/>
          <w:shd w:val="clear" w:color="auto" w:fill="auto"/>
        </w:tcPr>
        <w:p w14:paraId="42378B9B" w14:textId="77777777" w:rsidR="00FA21B3" w:rsidRDefault="00FA21B3" w:rsidP="00FA21B3">
          <w:pPr>
            <w:pStyle w:val="a5"/>
            <w:jc w:val="center"/>
            <w:rPr>
              <w:rtl/>
            </w:rPr>
          </w:pPr>
          <w:r w:rsidRPr="00D745E1">
            <w:rPr>
              <w:b/>
              <w:bCs/>
              <w:noProof/>
              <w:sz w:val="16"/>
              <w:szCs w:val="18"/>
              <w:rtl/>
            </w:rPr>
            <w:drawing>
              <wp:inline distT="0" distB="0" distL="0" distR="0" wp14:anchorId="36EF848B" wp14:editId="1DBC94ED">
                <wp:extent cx="464820" cy="449580"/>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tc>
    </w:tr>
    <w:tr w:rsidR="00FA21B3" w14:paraId="445C2BC4" w14:textId="77777777" w:rsidTr="00AC2323">
      <w:trPr>
        <w:trHeight w:val="372"/>
      </w:trPr>
      <w:tc>
        <w:tcPr>
          <w:tcW w:w="8528" w:type="dxa"/>
          <w:shd w:val="clear" w:color="auto" w:fill="auto"/>
        </w:tcPr>
        <w:p w14:paraId="3357A4DB" w14:textId="77777777" w:rsidR="00FA21B3" w:rsidRDefault="00FA21B3" w:rsidP="00FA21B3">
          <w:pPr>
            <w:pStyle w:val="a5"/>
            <w:jc w:val="center"/>
            <w:rPr>
              <w:rtl/>
            </w:rPr>
          </w:pPr>
        </w:p>
      </w:tc>
    </w:tr>
  </w:tbl>
  <w:p w14:paraId="0C1A429C" w14:textId="22BF0205" w:rsidR="00045B4D" w:rsidRDefault="00045B4D" w:rsidP="00FA21B3">
    <w:pPr>
      <w:pStyle w:val="a5"/>
      <w:rPr>
        <w:szCs w:val="20"/>
        <w:rtl/>
      </w:rPr>
    </w:pPr>
  </w:p>
  <w:p w14:paraId="14BD42E9" w14:textId="77777777" w:rsidR="00E257F1" w:rsidRPr="00FA21B3" w:rsidRDefault="00E257F1" w:rsidP="00FA21B3">
    <w:pPr>
      <w:pStyle w:val="a5"/>
      <w:rPr>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7A4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B8E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485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00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465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CE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26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A0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46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800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6001B"/>
    <w:multiLevelType w:val="hybridMultilevel"/>
    <w:tmpl w:val="B2C4B5E4"/>
    <w:lvl w:ilvl="0" w:tplc="5F9C772A">
      <w:start w:val="1"/>
      <w:numFmt w:val="decimal"/>
      <w:pStyle w:val="Ruller4"/>
      <w:lvlText w:val="%1."/>
      <w:lvlJc w:val="left"/>
      <w:pPr>
        <w:tabs>
          <w:tab w:val="num" w:pos="90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DB21F9"/>
    <w:multiLevelType w:val="hybridMultilevel"/>
    <w:tmpl w:val="32265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64ACF"/>
    <w:multiLevelType w:val="multilevel"/>
    <w:tmpl w:val="73807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4B0B99"/>
    <w:multiLevelType w:val="hybridMultilevel"/>
    <w:tmpl w:val="7E76D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D296E"/>
    <w:multiLevelType w:val="hybridMultilevel"/>
    <w:tmpl w:val="3F74CC68"/>
    <w:lvl w:ilvl="0" w:tplc="72161AFA">
      <w:start w:val="84"/>
      <w:numFmt w:val="bullet"/>
      <w:lvlText w:val="-"/>
      <w:lvlJc w:val="left"/>
      <w:pPr>
        <w:ind w:left="720" w:hanging="360"/>
      </w:pPr>
      <w:rPr>
        <w:rFonts w:ascii="FrankRuehl" w:eastAsia="Times New Roman" w:hAnsi="FrankRuehl" w:cs="FrankRueh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70B62"/>
    <w:multiLevelType w:val="hybridMultilevel"/>
    <w:tmpl w:val="ADA8711E"/>
    <w:lvl w:ilvl="0" w:tplc="DBB0A036">
      <w:start w:val="1"/>
      <w:numFmt w:val="hebrew1"/>
      <w:pStyle w:val="Ruller40"/>
      <w:lvlText w:val="%1."/>
      <w:lvlJc w:val="left"/>
      <w:pPr>
        <w:tabs>
          <w:tab w:val="num" w:pos="90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5"/>
  </w:num>
  <w:num w:numId="13">
    <w:abstractNumId w:val="13"/>
  </w:num>
  <w:num w:numId="14">
    <w:abstractNumId w:val="1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27"/>
    <w:rsid w:val="00016EF1"/>
    <w:rsid w:val="00032036"/>
    <w:rsid w:val="00036227"/>
    <w:rsid w:val="00044953"/>
    <w:rsid w:val="00045B4D"/>
    <w:rsid w:val="00072AD2"/>
    <w:rsid w:val="000B1478"/>
    <w:rsid w:val="000C0A71"/>
    <w:rsid w:val="000C4690"/>
    <w:rsid w:val="000D25C4"/>
    <w:rsid w:val="000F30DA"/>
    <w:rsid w:val="00134A67"/>
    <w:rsid w:val="001A0164"/>
    <w:rsid w:val="00200D6B"/>
    <w:rsid w:val="00265F6E"/>
    <w:rsid w:val="002876BF"/>
    <w:rsid w:val="002A4A7A"/>
    <w:rsid w:val="002A4BF3"/>
    <w:rsid w:val="002F7BB6"/>
    <w:rsid w:val="003448B2"/>
    <w:rsid w:val="00361DB2"/>
    <w:rsid w:val="0037622E"/>
    <w:rsid w:val="00377102"/>
    <w:rsid w:val="003823CF"/>
    <w:rsid w:val="00396957"/>
    <w:rsid w:val="0039709B"/>
    <w:rsid w:val="003D0AA2"/>
    <w:rsid w:val="003D72DA"/>
    <w:rsid w:val="003F1F97"/>
    <w:rsid w:val="0041048F"/>
    <w:rsid w:val="004610A4"/>
    <w:rsid w:val="004649AB"/>
    <w:rsid w:val="004B29FF"/>
    <w:rsid w:val="004C7868"/>
    <w:rsid w:val="00503A3E"/>
    <w:rsid w:val="00515DAA"/>
    <w:rsid w:val="00523686"/>
    <w:rsid w:val="00527F02"/>
    <w:rsid w:val="0058440A"/>
    <w:rsid w:val="00591983"/>
    <w:rsid w:val="005E085D"/>
    <w:rsid w:val="005E1A05"/>
    <w:rsid w:val="0060207B"/>
    <w:rsid w:val="00624A42"/>
    <w:rsid w:val="0065522F"/>
    <w:rsid w:val="00655963"/>
    <w:rsid w:val="006A30F7"/>
    <w:rsid w:val="006A687A"/>
    <w:rsid w:val="006C42AD"/>
    <w:rsid w:val="006D65CD"/>
    <w:rsid w:val="00741CC0"/>
    <w:rsid w:val="007B512F"/>
    <w:rsid w:val="007F7512"/>
    <w:rsid w:val="00810894"/>
    <w:rsid w:val="008143AB"/>
    <w:rsid w:val="00836667"/>
    <w:rsid w:val="008A33D5"/>
    <w:rsid w:val="008C2F11"/>
    <w:rsid w:val="008D78B9"/>
    <w:rsid w:val="008E3F85"/>
    <w:rsid w:val="009051E8"/>
    <w:rsid w:val="00914156"/>
    <w:rsid w:val="00916FF8"/>
    <w:rsid w:val="00922093"/>
    <w:rsid w:val="00930C85"/>
    <w:rsid w:val="009B38DA"/>
    <w:rsid w:val="009F2F53"/>
    <w:rsid w:val="009F4187"/>
    <w:rsid w:val="00A10C3C"/>
    <w:rsid w:val="00A12E0F"/>
    <w:rsid w:val="00A51FAE"/>
    <w:rsid w:val="00A52206"/>
    <w:rsid w:val="00A54073"/>
    <w:rsid w:val="00A821BF"/>
    <w:rsid w:val="00AB69F7"/>
    <w:rsid w:val="00AD097B"/>
    <w:rsid w:val="00AD22AE"/>
    <w:rsid w:val="00AD64B9"/>
    <w:rsid w:val="00AE022B"/>
    <w:rsid w:val="00B009CC"/>
    <w:rsid w:val="00B0782A"/>
    <w:rsid w:val="00B62B8C"/>
    <w:rsid w:val="00B63343"/>
    <w:rsid w:val="00BA0B08"/>
    <w:rsid w:val="00BC0E82"/>
    <w:rsid w:val="00BD40F9"/>
    <w:rsid w:val="00C1792E"/>
    <w:rsid w:val="00C237FD"/>
    <w:rsid w:val="00C41C86"/>
    <w:rsid w:val="00C63A6C"/>
    <w:rsid w:val="00CA13AF"/>
    <w:rsid w:val="00CA1444"/>
    <w:rsid w:val="00CB00EE"/>
    <w:rsid w:val="00CB1590"/>
    <w:rsid w:val="00CB5BE7"/>
    <w:rsid w:val="00CB7600"/>
    <w:rsid w:val="00CC3639"/>
    <w:rsid w:val="00D00B1D"/>
    <w:rsid w:val="00D25F16"/>
    <w:rsid w:val="00D43C92"/>
    <w:rsid w:val="00D75C8B"/>
    <w:rsid w:val="00DF0EDD"/>
    <w:rsid w:val="00E21CA9"/>
    <w:rsid w:val="00E257F1"/>
    <w:rsid w:val="00E31063"/>
    <w:rsid w:val="00E36FE9"/>
    <w:rsid w:val="00E46046"/>
    <w:rsid w:val="00E73E98"/>
    <w:rsid w:val="00E90D72"/>
    <w:rsid w:val="00EA71F0"/>
    <w:rsid w:val="00EC23AC"/>
    <w:rsid w:val="00ED46A4"/>
    <w:rsid w:val="00ED6FD9"/>
    <w:rsid w:val="00EE3810"/>
    <w:rsid w:val="00EF0EA6"/>
    <w:rsid w:val="00F63C3B"/>
    <w:rsid w:val="00F959DB"/>
    <w:rsid w:val="00FA0053"/>
    <w:rsid w:val="00FA21B3"/>
    <w:rsid w:val="00FA6A58"/>
    <w:rsid w:val="00FE3EDC"/>
    <w:rsid w:val="00FF09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289E5E"/>
  <w15:chartTrackingRefBased/>
  <w15:docId w15:val="{EC771936-DABD-4EAD-AF5C-BD387D9A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bidi/>
      <w:adjustRightInd w:val="0"/>
      <w:textAlignment w:val="baseline"/>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3">
    <w:name w:val="Ruller 3"/>
    <w:basedOn w:val="a"/>
    <w:rsid w:val="00A51FAE"/>
    <w:pPr>
      <w:tabs>
        <w:tab w:val="left" w:pos="3210"/>
        <w:tab w:val="left" w:pos="6753"/>
      </w:tabs>
      <w:spacing w:line="360" w:lineRule="auto"/>
    </w:pPr>
    <w:rPr>
      <w:rFonts w:cs="FrankRuehl"/>
      <w:spacing w:val="10"/>
      <w:sz w:val="22"/>
      <w:szCs w:val="28"/>
    </w:rPr>
  </w:style>
  <w:style w:type="paragraph" w:customStyle="1" w:styleId="Pskdinhead">
    <w:name w:val="Pskdin head"/>
    <w:basedOn w:val="a"/>
    <w:pPr>
      <w:spacing w:line="360" w:lineRule="auto"/>
    </w:pPr>
    <w:rPr>
      <w:b/>
      <w:bCs/>
      <w:u w:val="single"/>
    </w:rPr>
  </w:style>
  <w:style w:type="paragraph" w:customStyle="1" w:styleId="FileNumber">
    <w:name w:val="File Number"/>
    <w:basedOn w:val="a"/>
    <w:pPr>
      <w:spacing w:line="360" w:lineRule="auto"/>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a"/>
    <w:pPr>
      <w:jc w:val="center"/>
    </w:pPr>
    <w:rPr>
      <w:b/>
      <w:bCs/>
      <w:i/>
      <w:iCs/>
      <w:sz w:val="28"/>
      <w:szCs w:val="28"/>
    </w:rPr>
  </w:style>
  <w:style w:type="paragraph" w:customStyle="1" w:styleId="DocumentHead">
    <w:name w:val="Document Head"/>
    <w:basedOn w:val="a"/>
    <w:pPr>
      <w:spacing w:line="360" w:lineRule="auto"/>
      <w:jc w:val="center"/>
    </w:pPr>
    <w:rPr>
      <w:bCs/>
      <w:spacing w:val="30"/>
      <w:szCs w:val="28"/>
      <w:u w:val="single"/>
    </w:rPr>
  </w:style>
  <w:style w:type="paragraph" w:customStyle="1" w:styleId="TfutzaList">
    <w:name w:val="Tfutza List"/>
    <w:basedOn w:val="a"/>
    <w:rPr>
      <w:i/>
      <w:iCs/>
    </w:rPr>
  </w:style>
  <w:style w:type="paragraph" w:customStyle="1" w:styleId="Ruller41">
    <w:name w:val="Ruller4"/>
    <w:basedOn w:val="a"/>
    <w:link w:val="Ruller42"/>
    <w:qFormat/>
    <w:rsid w:val="00A51FAE"/>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a"/>
    <w:rsid w:val="00A51FAE"/>
    <w:pPr>
      <w:ind w:left="1642" w:right="1282"/>
      <w:jc w:val="both"/>
    </w:pPr>
    <w:rPr>
      <w:rFonts w:ascii="Arial TUR" w:hAnsi="Arial TUR" w:cs="FrankRuehl"/>
      <w:spacing w:val="10"/>
      <w:sz w:val="22"/>
      <w:szCs w:val="28"/>
    </w:rPr>
  </w:style>
  <w:style w:type="paragraph" w:customStyle="1" w:styleId="Ruller6">
    <w:name w:val="Ruller6"/>
    <w:basedOn w:val="a"/>
    <w:rsid w:val="00A51FAE"/>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rPr>
      <w:strike/>
    </w:rPr>
  </w:style>
  <w:style w:type="paragraph" w:customStyle="1" w:styleId="WriterName">
    <w:name w:val="Writer Name"/>
    <w:basedOn w:val="Ruller41"/>
    <w:next w:val="Ruller41"/>
    <w:rPr>
      <w:rFonts w:cs="David"/>
      <w:b/>
      <w:bCs/>
      <w:u w:val="single"/>
    </w:rPr>
  </w:style>
  <w:style w:type="character" w:customStyle="1" w:styleId="Hand">
    <w:name w:val="Hand"/>
    <w:rPr>
      <w:rFonts w:cs="Guttman Yad"/>
    </w:rPr>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pPr>
      <w:tabs>
        <w:tab w:val="center" w:pos="4153"/>
        <w:tab w:val="right" w:pos="8306"/>
      </w:tabs>
    </w:pPr>
  </w:style>
  <w:style w:type="paragraph" w:customStyle="1" w:styleId="2">
    <w:name w:val="ñâðåï2"/>
    <w:basedOn w:val="a"/>
    <w:pPr>
      <w:overflowPunct/>
      <w:textAlignment w:val="auto"/>
    </w:pPr>
    <w:rPr>
      <w:rFonts w:cs="Times New Roman"/>
    </w:rPr>
  </w:style>
  <w:style w:type="paragraph" w:customStyle="1" w:styleId="Casenameintextbody">
    <w:name w:val="Case name in text body"/>
    <w:basedOn w:val="a"/>
    <w:pPr>
      <w:overflowPunct/>
      <w:jc w:val="right"/>
      <w:textAlignment w:val="auto"/>
    </w:pPr>
    <w:rPr>
      <w:rFonts w:cs="Times New Roman"/>
      <w:b/>
      <w:bCs/>
      <w:u w:val="single"/>
    </w:rPr>
  </w:style>
  <w:style w:type="paragraph" w:customStyle="1" w:styleId="precasestyle">
    <w:name w:val="pre_case style"/>
    <w:basedOn w:val="a"/>
    <w:pPr>
      <w:tabs>
        <w:tab w:val="left" w:pos="2552"/>
      </w:tabs>
      <w:overflowPunct/>
      <w:ind w:right="2549"/>
      <w:textAlignment w:val="auto"/>
    </w:pPr>
    <w:rPr>
      <w:rFonts w:cs="Times New Roman"/>
    </w:rPr>
  </w:style>
  <w:style w:type="paragraph" w:customStyle="1" w:styleId="BodyRuller">
    <w:name w:val="Body Ruller"/>
    <w:basedOn w:val="a"/>
    <w:rPr>
      <w:sz w:val="22"/>
      <w:szCs w:val="28"/>
    </w:rPr>
  </w:style>
  <w:style w:type="paragraph" w:customStyle="1" w:styleId="Ruller38">
    <w:name w:val="סגנון Ruller 3 + (מורכב) ‏8 נק"/>
    <w:basedOn w:val="BodyRuller"/>
    <w:rPr>
      <w:szCs w:val="16"/>
    </w:rPr>
  </w:style>
  <w:style w:type="character" w:customStyle="1" w:styleId="Ruller30">
    <w:name w:val="Ruller 3 תו"/>
    <w:rPr>
      <w:rFonts w:cs="FrankRuehl"/>
      <w:sz w:val="22"/>
      <w:szCs w:val="28"/>
      <w:lang w:val="en-US" w:eastAsia="en-US" w:bidi="he-IL"/>
    </w:rPr>
  </w:style>
  <w:style w:type="character" w:customStyle="1" w:styleId="BodyRuller0">
    <w:name w:val="Body Ruller תו"/>
    <w:rPr>
      <w:rFonts w:cs="David"/>
      <w:sz w:val="22"/>
      <w:szCs w:val="28"/>
      <w:lang w:val="en-US" w:eastAsia="en-US" w:bidi="he-IL"/>
    </w:rPr>
  </w:style>
  <w:style w:type="character" w:customStyle="1" w:styleId="Ruller380">
    <w:name w:val="סגנון Ruller 3 + (מורכב) ‏8 נק תו"/>
    <w:rPr>
      <w:rFonts w:cs="David"/>
      <w:sz w:val="22"/>
      <w:szCs w:val="16"/>
      <w:lang w:val="en-US" w:eastAsia="en-US" w:bidi="he-IL"/>
    </w:rPr>
  </w:style>
  <w:style w:type="paragraph" w:customStyle="1" w:styleId="FileNumber0">
    <w:name w:val="סגנון File Number + ימין"/>
    <w:basedOn w:val="FileNumber"/>
    <w:rsid w:val="004C7868"/>
    <w:pPr>
      <w:jc w:val="left"/>
    </w:pPr>
    <w:rPr>
      <w:szCs w:val="28"/>
    </w:rPr>
  </w:style>
  <w:style w:type="paragraph" w:customStyle="1" w:styleId="BODYVERDICT">
    <w:name w:val="BODY VERDICT"/>
    <w:basedOn w:val="a"/>
    <w:rsid w:val="00036227"/>
    <w:rPr>
      <w:rFonts w:cs="FrankRuehl"/>
      <w:spacing w:val="10"/>
      <w:sz w:val="22"/>
      <w:szCs w:val="28"/>
    </w:rPr>
  </w:style>
  <w:style w:type="character" w:styleId="Hyperlink">
    <w:name w:val="Hyperlink"/>
    <w:uiPriority w:val="99"/>
    <w:rsid w:val="003F1F97"/>
    <w:rPr>
      <w:color w:val="0000FF"/>
      <w:u w:val="single"/>
    </w:rPr>
  </w:style>
  <w:style w:type="table" w:styleId="a6">
    <w:name w:val="Table Grid"/>
    <w:basedOn w:val="a1"/>
    <w:rsid w:val="003F1F97"/>
    <w:pPr>
      <w:overflowPunct w:val="0"/>
      <w:autoSpaceDE w:val="0"/>
      <w:autoSpaceDN w:val="0"/>
      <w:bidi/>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rsid w:val="0058440A"/>
    <w:rPr>
      <w:color w:val="954F72" w:themeColor="followedHyperlink"/>
      <w:u w:val="single"/>
    </w:rPr>
  </w:style>
  <w:style w:type="character" w:styleId="a7">
    <w:name w:val="annotation reference"/>
    <w:basedOn w:val="a0"/>
    <w:rsid w:val="00D00B1D"/>
    <w:rPr>
      <w:sz w:val="16"/>
      <w:szCs w:val="16"/>
    </w:rPr>
  </w:style>
  <w:style w:type="paragraph" w:styleId="a8">
    <w:name w:val="annotation text"/>
    <w:basedOn w:val="a"/>
    <w:link w:val="a9"/>
    <w:rsid w:val="00D00B1D"/>
    <w:rPr>
      <w:szCs w:val="20"/>
    </w:rPr>
  </w:style>
  <w:style w:type="character" w:customStyle="1" w:styleId="a9">
    <w:name w:val="טקסט הערה תו"/>
    <w:basedOn w:val="a0"/>
    <w:link w:val="a8"/>
    <w:rsid w:val="00D00B1D"/>
    <w:rPr>
      <w:rFonts w:cs="David"/>
    </w:rPr>
  </w:style>
  <w:style w:type="paragraph" w:styleId="aa">
    <w:name w:val="annotation subject"/>
    <w:basedOn w:val="a8"/>
    <w:next w:val="a8"/>
    <w:link w:val="ab"/>
    <w:rsid w:val="00D00B1D"/>
    <w:rPr>
      <w:b/>
      <w:bCs/>
    </w:rPr>
  </w:style>
  <w:style w:type="character" w:customStyle="1" w:styleId="ab">
    <w:name w:val="נושא הערה תו"/>
    <w:basedOn w:val="a9"/>
    <w:link w:val="aa"/>
    <w:rsid w:val="00D00B1D"/>
    <w:rPr>
      <w:rFonts w:cs="David"/>
      <w:b/>
      <w:bCs/>
    </w:rPr>
  </w:style>
  <w:style w:type="paragraph" w:styleId="ac">
    <w:name w:val="Balloon Text"/>
    <w:basedOn w:val="a"/>
    <w:link w:val="ad"/>
    <w:rsid w:val="00D00B1D"/>
    <w:rPr>
      <w:rFonts w:ascii="Tahoma" w:hAnsi="Tahoma" w:cs="Tahoma"/>
      <w:sz w:val="18"/>
      <w:szCs w:val="18"/>
    </w:rPr>
  </w:style>
  <w:style w:type="character" w:customStyle="1" w:styleId="ad">
    <w:name w:val="טקסט בלונים תו"/>
    <w:basedOn w:val="a0"/>
    <w:link w:val="ac"/>
    <w:rsid w:val="00D00B1D"/>
    <w:rPr>
      <w:rFonts w:ascii="Tahoma" w:hAnsi="Tahoma" w:cs="Tahoma"/>
      <w:sz w:val="18"/>
      <w:szCs w:val="18"/>
    </w:rPr>
  </w:style>
  <w:style w:type="paragraph" w:customStyle="1" w:styleId="Ruller4">
    <w:name w:val="Ruller 4 ממוספר"/>
    <w:basedOn w:val="Ruller41"/>
    <w:next w:val="Ruller41"/>
    <w:rsid w:val="006A687A"/>
    <w:pPr>
      <w:numPr>
        <w:numId w:val="11"/>
      </w:numPr>
    </w:pPr>
    <w:rPr>
      <w:rFonts w:ascii="Garamond" w:hAnsi="Garamond"/>
      <w:sz w:val="24"/>
    </w:rPr>
  </w:style>
  <w:style w:type="paragraph" w:customStyle="1" w:styleId="Ruller40">
    <w:name w:val="Ruller4 אלפביתי"/>
    <w:basedOn w:val="Ruller41"/>
    <w:next w:val="Ruller41"/>
    <w:rsid w:val="006A687A"/>
    <w:pPr>
      <w:numPr>
        <w:numId w:val="12"/>
      </w:numPr>
    </w:pPr>
  </w:style>
  <w:style w:type="paragraph" w:customStyle="1" w:styleId="p00">
    <w:name w:val="p00"/>
    <w:basedOn w:val="a"/>
    <w:rsid w:val="006A687A"/>
    <w:pPr>
      <w:overflowPunct/>
      <w:autoSpaceDE/>
      <w:autoSpaceDN/>
      <w:bidi w:val="0"/>
      <w:adjustRightInd/>
      <w:spacing w:before="100" w:beforeAutospacing="1" w:after="100" w:afterAutospacing="1"/>
      <w:textAlignment w:val="auto"/>
    </w:pPr>
    <w:rPr>
      <w:rFonts w:cs="Times New Roman"/>
      <w:sz w:val="24"/>
    </w:rPr>
  </w:style>
  <w:style w:type="character" w:customStyle="1" w:styleId="big-number">
    <w:name w:val="big-number"/>
    <w:basedOn w:val="a0"/>
    <w:rsid w:val="006A687A"/>
  </w:style>
  <w:style w:type="character" w:customStyle="1" w:styleId="default">
    <w:name w:val="default"/>
    <w:basedOn w:val="a0"/>
    <w:rsid w:val="006A687A"/>
  </w:style>
  <w:style w:type="paragraph" w:customStyle="1" w:styleId="p22">
    <w:name w:val="p22"/>
    <w:basedOn w:val="a"/>
    <w:rsid w:val="006A687A"/>
    <w:pPr>
      <w:overflowPunct/>
      <w:autoSpaceDE/>
      <w:autoSpaceDN/>
      <w:bidi w:val="0"/>
      <w:adjustRightInd/>
      <w:spacing w:before="100" w:beforeAutospacing="1" w:after="100" w:afterAutospacing="1"/>
      <w:textAlignment w:val="auto"/>
    </w:pPr>
    <w:rPr>
      <w:rFonts w:cs="Times New Roman"/>
      <w:sz w:val="24"/>
    </w:rPr>
  </w:style>
  <w:style w:type="character" w:customStyle="1" w:styleId="Ruller42">
    <w:name w:val="Ruller4 תו"/>
    <w:basedOn w:val="a0"/>
    <w:link w:val="Ruller41"/>
    <w:locked/>
    <w:rsid w:val="006A687A"/>
    <w:rPr>
      <w:rFonts w:ascii="Arial TUR" w:hAnsi="Arial TUR" w:cs="FrankRuehl"/>
      <w:spacing w:val="10"/>
      <w:sz w:val="22"/>
      <w:szCs w:val="28"/>
    </w:rPr>
  </w:style>
  <w:style w:type="character" w:styleId="ae">
    <w:name w:val="footnote reference"/>
    <w:aliases w:val="Footnotes refss,header 3,מ"/>
    <w:basedOn w:val="a0"/>
    <w:unhideWhenUsed/>
    <w:rsid w:val="006A6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upreme.court.gov.i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8098</Words>
  <Characters>39480</Characters>
  <Application>Microsoft Office Word</Application>
  <DocSecurity>0</DocSecurity>
  <Lines>329</Lines>
  <Paragraphs>94</Paragraphs>
  <ScaleCrop>false</ScaleCrop>
  <HeadingPairs>
    <vt:vector size="2" baseType="variant">
      <vt:variant>
        <vt:lpstr>שם</vt:lpstr>
      </vt:variant>
      <vt:variant>
        <vt:i4>1</vt:i4>
      </vt:variant>
    </vt:vector>
  </HeadingPairs>
  <TitlesOfParts>
    <vt:vector size="1" baseType="lpstr">
      <vt:lpstr>החלטה בתיק בש"פ  467/21</vt:lpstr>
    </vt:vector>
  </TitlesOfParts>
  <Company/>
  <LinksUpToDate>false</LinksUpToDate>
  <CharactersWithSpaces>47484</CharactersWithSpaces>
  <SharedDoc>false</SharedDoc>
  <HLinks>
    <vt:vector size="6" baseType="variant">
      <vt:variant>
        <vt:i4>1966158</vt:i4>
      </vt:variant>
      <vt:variant>
        <vt:i4>12</vt:i4>
      </vt:variant>
      <vt:variant>
        <vt:i4>0</vt:i4>
      </vt:variant>
      <vt:variant>
        <vt:i4>5</vt:i4>
      </vt:variant>
      <vt:variant>
        <vt:lpwstr>http://www.court.gov.il/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
  <cp:lastPrinted>2021-03-14T16:20:58Z</cp:lastPrinted>
  <dcterms:created xsi:type="dcterms:W3CDTF">2021-03-14T16:20:58Z</dcterms:created>
  <dcterms:modified xsi:type="dcterms:W3CDTF">2021-03-14T16:20:58Z</dcterms:modified>
</cp:coreProperties>
</file>